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3C6" w:rsidP="00EC23C6" w:rsidRDefault="00EC23C6" w14:paraId="56AFA6B2" w14:textId="05231A85">
      <w:pPr>
        <w:pStyle w:val="BodyText"/>
        <w:spacing w:before="240" w:after="0" w:line="276" w:lineRule="auto"/>
        <w:jc w:val="center"/>
        <w:rPr>
          <w:b/>
          <w:bCs/>
        </w:rPr>
      </w:pPr>
      <w:r>
        <w:rPr>
          <w:b/>
          <w:bCs/>
        </w:rPr>
        <w:t xml:space="preserve">Proposed Revisions to Senate Finance Committee Language </w:t>
      </w:r>
    </w:p>
    <w:p w:rsidRPr="005D4842" w:rsidR="005D4842" w:rsidP="005D4842" w:rsidRDefault="005D4842" w14:paraId="7E775233" w14:textId="2EAACADD">
      <w:pPr>
        <w:spacing w:before="240" w:after="200" w:line="276" w:lineRule="auto"/>
        <w:rPr>
          <w:rFonts w:eastAsia="Calibri"/>
          <w:szCs w:val="22"/>
        </w:rPr>
      </w:pPr>
      <w:r w:rsidRPr="005D4842">
        <w:rPr>
          <w:rFonts w:eastAsia="Calibri"/>
          <w:szCs w:val="22"/>
        </w:rPr>
        <w:t xml:space="preserve">This document focuses on options for improving </w:t>
      </w:r>
      <w:bookmarkStart w:name="_Hlk200101817" w:id="0"/>
      <w:r w:rsidRPr="005D4842">
        <w:rPr>
          <w:rFonts w:eastAsia="Calibri"/>
          <w:szCs w:val="22"/>
        </w:rPr>
        <w:t xml:space="preserve">Sections </w:t>
      </w:r>
      <w:r>
        <w:rPr>
          <w:rFonts w:eastAsia="Calibri"/>
          <w:szCs w:val="22"/>
        </w:rPr>
        <w:t>71120</w:t>
      </w:r>
      <w:r w:rsidRPr="005D4842">
        <w:rPr>
          <w:rFonts w:eastAsia="Calibri"/>
          <w:szCs w:val="22"/>
        </w:rPr>
        <w:t xml:space="preserve"> through </w:t>
      </w:r>
      <w:bookmarkEnd w:id="0"/>
      <w:r>
        <w:rPr>
          <w:rFonts w:eastAsia="Calibri"/>
          <w:szCs w:val="22"/>
        </w:rPr>
        <w:t xml:space="preserve">71122 </w:t>
      </w:r>
      <w:r w:rsidRPr="005D4842">
        <w:rPr>
          <w:rFonts w:eastAsia="Calibri"/>
          <w:szCs w:val="22"/>
        </w:rPr>
        <w:t xml:space="preserve">of </w:t>
      </w:r>
      <w:r>
        <w:rPr>
          <w:rFonts w:eastAsia="Calibri"/>
          <w:szCs w:val="22"/>
        </w:rPr>
        <w:t>the One Big Beautiful Bill language released by the Senate Committee on Finance</w:t>
      </w:r>
      <w:r w:rsidRPr="005D4842">
        <w:rPr>
          <w:rFonts w:eastAsia="Calibri"/>
          <w:szCs w:val="22"/>
        </w:rPr>
        <w:t>. These provisions, lodged within a Sub</w:t>
      </w:r>
      <w:r>
        <w:rPr>
          <w:rFonts w:eastAsia="Calibri"/>
          <w:szCs w:val="22"/>
        </w:rPr>
        <w:t xml:space="preserve">chapter </w:t>
      </w:r>
      <w:r w:rsidRPr="005D4842">
        <w:rPr>
          <w:rFonts w:eastAsia="Calibri"/>
          <w:szCs w:val="22"/>
        </w:rPr>
        <w:t>characterized as “</w:t>
      </w:r>
      <w:r>
        <w:rPr>
          <w:rFonts w:eastAsia="Calibri"/>
          <w:szCs w:val="22"/>
        </w:rPr>
        <w:t xml:space="preserve">Stopping </w:t>
      </w:r>
      <w:r w:rsidRPr="005D4842">
        <w:rPr>
          <w:rFonts w:eastAsia="Calibri"/>
          <w:szCs w:val="22"/>
        </w:rPr>
        <w:t xml:space="preserve">Abusive Financing Practices,” would </w:t>
      </w:r>
      <w:r>
        <w:rPr>
          <w:rFonts w:eastAsia="Calibri"/>
          <w:szCs w:val="22"/>
        </w:rPr>
        <w:t xml:space="preserve">(among other things) </w:t>
      </w:r>
      <w:r w:rsidRPr="005D4842">
        <w:rPr>
          <w:rFonts w:eastAsia="Calibri"/>
          <w:szCs w:val="22"/>
        </w:rPr>
        <w:t>impose restrictions on provider taxes and state directed payments (SDPs):</w:t>
      </w:r>
    </w:p>
    <w:p w:rsidRPr="005D4842" w:rsidR="005D4842" w:rsidP="005D4842" w:rsidRDefault="005D4842" w14:paraId="42995C39" w14:textId="77777777">
      <w:pPr>
        <w:numPr>
          <w:ilvl w:val="0"/>
          <w:numId w:val="38"/>
        </w:numPr>
        <w:spacing w:after="200" w:line="276" w:lineRule="auto"/>
        <w:contextualSpacing/>
        <w:rPr>
          <w:rFonts w:eastAsia="Calibri"/>
          <w:szCs w:val="22"/>
        </w:rPr>
      </w:pPr>
      <w:r w:rsidRPr="005D4842">
        <w:rPr>
          <w:rFonts w:eastAsia="Calibri"/>
          <w:szCs w:val="22"/>
        </w:rPr>
        <w:t xml:space="preserve">Section 44132 imposes a freeze on provider taxes at currently approved rates and amounts. </w:t>
      </w:r>
    </w:p>
    <w:p w:rsidRPr="005D4842" w:rsidR="005D4842" w:rsidP="005D4842" w:rsidRDefault="005D4842" w14:paraId="1073CD8D" w14:textId="77777777">
      <w:pPr>
        <w:numPr>
          <w:ilvl w:val="0"/>
          <w:numId w:val="38"/>
        </w:numPr>
        <w:spacing w:after="200" w:line="276" w:lineRule="auto"/>
        <w:contextualSpacing/>
        <w:rPr>
          <w:rFonts w:eastAsia="Calibri"/>
          <w:szCs w:val="22"/>
        </w:rPr>
      </w:pPr>
      <w:r w:rsidRPr="005D4842">
        <w:rPr>
          <w:rFonts w:eastAsia="Calibri"/>
          <w:szCs w:val="22"/>
        </w:rPr>
        <w:t xml:space="preserve">Section 44133 limits new SDPs but freezes existing or proposed SDPs at current levels. </w:t>
      </w:r>
    </w:p>
    <w:p w:rsidRPr="005D4842" w:rsidR="005D4842" w:rsidP="005D4842" w:rsidRDefault="005D4842" w14:paraId="45A161B4" w14:textId="77777777">
      <w:pPr>
        <w:numPr>
          <w:ilvl w:val="0"/>
          <w:numId w:val="38"/>
        </w:numPr>
        <w:spacing w:after="200" w:line="276" w:lineRule="auto"/>
        <w:contextualSpacing/>
        <w:rPr>
          <w:rFonts w:eastAsia="Calibri"/>
          <w:szCs w:val="22"/>
        </w:rPr>
      </w:pPr>
      <w:r w:rsidRPr="005D4842">
        <w:rPr>
          <w:rFonts w:eastAsia="Calibri"/>
          <w:szCs w:val="22"/>
        </w:rPr>
        <w:t xml:space="preserve">Section 44134 adds a new condition applicable to provider tax waivers of uniformity.  </w:t>
      </w:r>
    </w:p>
    <w:p w:rsidR="00EC23C6" w:rsidP="005D4842" w:rsidRDefault="005D4842" w14:paraId="0FD16500" w14:textId="2268C7E7">
      <w:pPr>
        <w:pStyle w:val="BodyText"/>
        <w:spacing w:before="240" w:after="0" w:line="276" w:lineRule="auto"/>
        <w:rPr>
          <w:rFonts w:eastAsia="Calibri"/>
          <w:szCs w:val="22"/>
        </w:rPr>
      </w:pPr>
      <w:r w:rsidRPr="005D4842">
        <w:rPr>
          <w:rFonts w:eastAsia="Calibri"/>
          <w:szCs w:val="22"/>
        </w:rPr>
        <w:t>Notwithstanding the legislative label as “abusive practices,” none of these practices are inherently abusive.</w:t>
      </w:r>
    </w:p>
    <w:p w:rsidRPr="00877EEF" w:rsidR="00877EEF" w:rsidP="00877EEF" w:rsidRDefault="00877EEF" w14:paraId="631AABD1" w14:textId="545541A9">
      <w:pPr>
        <w:pStyle w:val="BodyText"/>
        <w:numPr>
          <w:ilvl w:val="0"/>
          <w:numId w:val="39"/>
        </w:numPr>
        <w:spacing w:before="240" w:after="0" w:line="276" w:lineRule="auto"/>
        <w:rPr>
          <w:b/>
          <w:bCs/>
        </w:rPr>
      </w:pPr>
      <w:r w:rsidRPr="00877EEF">
        <w:rPr>
          <w:rFonts w:eastAsia="Calibri"/>
          <w:b/>
          <w:bCs/>
          <w:szCs w:val="22"/>
        </w:rPr>
        <w:t xml:space="preserve">Provider taxes. </w:t>
      </w:r>
    </w:p>
    <w:p w:rsidRPr="00877EEF" w:rsidR="00877EEF" w:rsidP="00877EEF" w:rsidRDefault="00877EEF" w14:paraId="185E3C4C" w14:textId="70E2CF92">
      <w:pPr>
        <w:pStyle w:val="BodyText"/>
        <w:spacing w:before="240" w:after="0" w:line="276" w:lineRule="auto"/>
        <w:ind w:left="360"/>
        <w:rPr>
          <w:b/>
          <w:bCs/>
        </w:rPr>
      </w:pPr>
      <w:r>
        <w:rPr>
          <w:rFonts w:eastAsia="Calibri"/>
          <w:b/>
          <w:bCs/>
          <w:szCs w:val="22"/>
        </w:rPr>
        <w:t xml:space="preserve">Solution: </w:t>
      </w:r>
      <w:r>
        <w:rPr>
          <w:rFonts w:eastAsia="Calibri"/>
          <w:szCs w:val="22"/>
        </w:rPr>
        <w:t>Compromise between the desire to reduce the 6 percent indirect hold harmless percentage and the House freeze by instituting a freeze for those above 5 percent, while limiting the percentage to 5 percent for all others.  Also add clarifications regarding the meaning of “</w:t>
      </w:r>
      <w:r>
        <w:t xml:space="preserve">provided for in legislation or regulations enacted or adopted prior to </w:t>
      </w:r>
      <w:r w:rsidRPr="00877EEF">
        <w:t xml:space="preserve">the </w:t>
      </w:r>
      <w:r w:rsidRPr="00603F02">
        <w:t>date of enactment</w:t>
      </w:r>
      <w:r>
        <w:t>.”</w:t>
      </w:r>
    </w:p>
    <w:p w:rsidRPr="000762A2" w:rsidR="000762A2" w:rsidP="00EC23C6" w:rsidRDefault="000762A2" w14:paraId="5F313D75" w14:textId="45869284">
      <w:pPr>
        <w:pStyle w:val="BodyText"/>
        <w:spacing w:before="240" w:after="0" w:line="276" w:lineRule="auto"/>
        <w:rPr>
          <w:b/>
          <w:bCs/>
        </w:rPr>
      </w:pPr>
      <w:r w:rsidRPr="000762A2">
        <w:rPr>
          <w:b/>
          <w:bCs/>
        </w:rPr>
        <w:t>SEC. 71120. PROVIDER TAXES.</w:t>
      </w:r>
    </w:p>
    <w:p w:rsidR="000762A2" w:rsidP="00EC23C6" w:rsidRDefault="000762A2" w14:paraId="5884653B" w14:textId="701737AB">
      <w:pPr>
        <w:pStyle w:val="BodyText"/>
        <w:spacing w:before="240" w:after="0" w:line="276" w:lineRule="auto"/>
        <w:ind w:firstLine="720"/>
      </w:pPr>
      <w:r>
        <w:t>(a) MORATORIUM ON NEW OR INCREASED PROVIDER</w:t>
      </w:r>
      <w:r w:rsidR="00F01015">
        <w:t xml:space="preserve"> </w:t>
      </w:r>
      <w:r>
        <w:t>TAXES.—Section 1903(w)(1)(A)(iii) of the Social Security Act (42 U.S.C. 1396b(w)(1)(A)(iii)) is amended—</w:t>
      </w:r>
    </w:p>
    <w:p w:rsidR="00EC23C6" w:rsidP="00EC23C6" w:rsidRDefault="00EC23C6" w14:paraId="26C6FBDA" w14:textId="6601D534">
      <w:pPr>
        <w:pStyle w:val="BodyText"/>
        <w:spacing w:before="240" w:after="0" w:line="276" w:lineRule="auto"/>
        <w:ind w:left="720" w:firstLine="720"/>
      </w:pPr>
      <w:r>
        <w:t>...</w:t>
      </w:r>
    </w:p>
    <w:p w:rsidR="006D154E" w:rsidP="00EC23C6" w:rsidRDefault="000762A2" w14:paraId="24F16D48" w14:textId="16ADDB69">
      <w:pPr>
        <w:pStyle w:val="BodyText"/>
        <w:spacing w:before="240" w:after="0" w:line="276" w:lineRule="auto"/>
        <w:ind w:left="720" w:firstLine="720"/>
      </w:pPr>
      <w:r>
        <w:t>(3) by adding at the end the following new sub-clause</w:t>
      </w:r>
      <w:r w:rsidRPr="00F45975">
        <w:rPr>
          <w:strike/>
          <w:color w:val="FF0000"/>
        </w:rPr>
        <w:t>s</w:t>
      </w:r>
      <w:r w:rsidR="00EC23C6">
        <w:t>:</w:t>
      </w:r>
    </w:p>
    <w:p w:rsidRPr="00F45975" w:rsidR="000762A2" w:rsidP="00EC23C6" w:rsidRDefault="000762A2" w14:paraId="70A8D849" w14:textId="5024C43A">
      <w:pPr>
        <w:pStyle w:val="BodyText"/>
        <w:spacing w:before="240" w:after="0" w:line="276" w:lineRule="auto"/>
        <w:ind w:left="1440" w:firstLine="720"/>
        <w:rPr>
          <w:strike/>
          <w:color w:val="FF0000"/>
        </w:rPr>
      </w:pPr>
      <w:r>
        <w:t xml:space="preserve">‘‘(II) subject to paragraph (8), </w:t>
      </w:r>
      <w:r w:rsidRPr="00F45975" w:rsidR="00EC23C6">
        <w:rPr>
          <w:color w:val="FF0000"/>
        </w:rPr>
        <w:t xml:space="preserve">the amount collected by the tax is above the higher of </w:t>
      </w:r>
      <w:r w:rsidRPr="00F45975" w:rsidR="00EC23C6">
        <w:rPr>
          <w:i/>
          <w:iCs/>
          <w:color w:val="FF0000"/>
        </w:rPr>
        <w:t>(i)</w:t>
      </w:r>
      <w:r w:rsidRPr="00F45975" w:rsidR="00EC23C6">
        <w:rPr>
          <w:color w:val="FF0000"/>
        </w:rPr>
        <w:t xml:space="preserve"> five (5) percent of net patient revenues for the assessed permissible class of health care items of services or </w:t>
      </w:r>
      <w:r w:rsidRPr="00F45975" w:rsidR="00EC23C6">
        <w:rPr>
          <w:i/>
          <w:iCs/>
          <w:color w:val="FF0000"/>
        </w:rPr>
        <w:t>(ii)</w:t>
      </w:r>
      <w:r w:rsidRPr="00F45975" w:rsidR="00EC23C6">
        <w:rPr>
          <w:color w:val="FF0000"/>
        </w:rPr>
        <w:t xml:space="preserve"> the percentage of net patient revenues for the assessed permissible class of health care items of services that was </w:t>
      </w:r>
      <w:r w:rsidRPr="00F45975">
        <w:rPr>
          <w:strike/>
          <w:color w:val="FF0000"/>
        </w:rPr>
        <w:t>the tax is first imposed by the State (or by a unit of local government in the State) on or after the date of the enactment of this subclause (other than such a tax for which the legislation or regulations providing for the imposition of such tax were enacted or adopted prior to such date of enactment); or</w:t>
      </w:r>
    </w:p>
    <w:p w:rsidR="000762A2" w:rsidP="00EC23C6" w:rsidRDefault="000762A2" w14:paraId="7EC7C0C6" w14:textId="445CC48A">
      <w:pPr>
        <w:pStyle w:val="BodyText"/>
        <w:spacing w:before="240" w:after="0" w:line="276" w:lineRule="auto"/>
        <w:ind w:left="1440" w:firstLine="720"/>
      </w:pPr>
      <w:r w:rsidRPr="00F45975">
        <w:rPr>
          <w:strike/>
          <w:color w:val="FF0000"/>
        </w:rPr>
        <w:t xml:space="preserve">‘‘(III) subject to paragraph (8), on or after the date of the enactment of this subclause, the State (or unit of local government) increases the amount of tax on a per unit basis or the rate of tax imposed with respect to a class of health care items or services (or with respect to a type of provider or activity within such a class), or increases the base of the tax such that the tax is imposed with respect to a class of items or services (or with respect to a type of provider or activity within such a class) to which the tax did not previously apply, but only to the extent that such revenues are attributable to such increase and only if such increase was not </w:t>
      </w:r>
      <w:r>
        <w:t xml:space="preserve">provided for in legislation or regulations enacted or adopted prior to </w:t>
      </w:r>
      <w:r w:rsidR="00603F02">
        <w:rPr>
          <w:color w:val="FF0000"/>
        </w:rPr>
        <w:t xml:space="preserve">the </w:t>
      </w:r>
      <w:r w:rsidRPr="00603F02">
        <w:rPr>
          <w:strike/>
          <w:color w:val="FF0000"/>
        </w:rPr>
        <w:t>such</w:t>
      </w:r>
      <w:r w:rsidRPr="00603F02">
        <w:rPr>
          <w:color w:val="FF0000"/>
        </w:rPr>
        <w:t xml:space="preserve"> </w:t>
      </w:r>
      <w:r w:rsidRPr="00603F02">
        <w:t>date of enactment</w:t>
      </w:r>
      <w:r w:rsidR="00603F02">
        <w:rPr>
          <w:color w:val="FF0000"/>
        </w:rPr>
        <w:t xml:space="preserve"> of this subclause</w:t>
      </w:r>
      <w:r w:rsidR="00877EEF">
        <w:rPr>
          <w:color w:val="FF0000"/>
        </w:rPr>
        <w:t>.</w:t>
      </w:r>
      <w:r w:rsidRPr="00877EEF" w:rsidR="00877EEF">
        <w:t xml:space="preserve"> </w:t>
      </w:r>
      <w:r w:rsidRPr="00877EEF" w:rsidR="00877EEF">
        <w:rPr>
          <w:color w:val="FF0000"/>
        </w:rPr>
        <w:t xml:space="preserve">For States (or units of local government) where a rate is set annually or periodically, “provided for in </w:t>
      </w:r>
      <w:r w:rsidRPr="00877EEF" w:rsidR="00877EEF">
        <w:rPr>
          <w:color w:val="FF0000"/>
        </w:rPr>
        <w:lastRenderedPageBreak/>
        <w:t>legislation or regulations” means the maximum amount that could be authorized under either legislation or regulation existing as of the date of enactment. For States (or units of local government) with a provider tax authorized as of the date of enactment but for which authorization expires at a future date, the percentage provided for as of the date of enactment shall remain at such percentage so long as the State (or unit of local government) does in fact reauthorize such provider tax.”</w:t>
      </w:r>
      <w:r w:rsidRPr="00877EEF" w:rsidR="00877EEF">
        <w:rPr>
          <w:strike/>
          <w:color w:val="FF0000"/>
        </w:rPr>
        <w:t>.</w:t>
      </w:r>
      <w:r w:rsidRPr="00877EEF">
        <w:rPr>
          <w:strike/>
          <w:color w:val="FF0000"/>
        </w:rPr>
        <w:t>; or’’</w:t>
      </w:r>
      <w:r>
        <w:t>.</w:t>
      </w:r>
    </w:p>
    <w:p w:rsidRPr="009E2988" w:rsidR="000762A2" w:rsidP="00EC23C6" w:rsidRDefault="000762A2" w14:paraId="073ADD6B" w14:textId="77777777">
      <w:pPr>
        <w:pStyle w:val="BodyText"/>
        <w:spacing w:before="240" w:after="0" w:line="276" w:lineRule="auto"/>
        <w:ind w:firstLine="720"/>
        <w:rPr>
          <w:strike/>
          <w:color w:val="FF0000"/>
        </w:rPr>
      </w:pPr>
      <w:r w:rsidRPr="009E2988">
        <w:rPr>
          <w:strike/>
          <w:color w:val="FF0000"/>
        </w:rPr>
        <w:t>(b) CHANGE IN THRESHOLD FOR HOLD HARMLESS PROVISION OF BROAD-BASED HEALTH CARE RELATED TAXES.—Section 1903(w)(4) of the Social Security Act (42 U.S.C. 1396b(w)(4)) is amended—</w:t>
      </w:r>
    </w:p>
    <w:p w:rsidRPr="009E2988" w:rsidR="000762A2" w:rsidP="00EC23C6" w:rsidRDefault="000762A2" w14:paraId="603415EA" w14:textId="2BB0F075">
      <w:pPr>
        <w:pStyle w:val="BodyText"/>
        <w:spacing w:before="240" w:after="0" w:line="276" w:lineRule="auto"/>
        <w:ind w:left="720" w:firstLine="720"/>
        <w:rPr>
          <w:strike/>
          <w:color w:val="FF0000"/>
        </w:rPr>
      </w:pPr>
      <w:r w:rsidRPr="009E2988">
        <w:rPr>
          <w:strike/>
          <w:color w:val="FF0000"/>
        </w:rPr>
        <w:t>(1) in subparagraph (C)(ii), by inserting ‘‘, and for fiscal years beginning on or after October 1, 2026, the applicable percent determined under subparagraph (D) shall be substituted for ‘6 percent’ ’’after ‘‘each place it appears’’; and</w:t>
      </w:r>
    </w:p>
    <w:p w:rsidRPr="009E2988" w:rsidR="000762A2" w:rsidP="00EC23C6" w:rsidRDefault="000762A2" w14:paraId="74C3B002" w14:textId="12B7C760">
      <w:pPr>
        <w:pStyle w:val="BodyText"/>
        <w:spacing w:before="240" w:after="0" w:line="276" w:lineRule="auto"/>
        <w:ind w:left="720" w:firstLine="720"/>
        <w:rPr>
          <w:strike/>
          <w:color w:val="FF0000"/>
        </w:rPr>
      </w:pPr>
      <w:r w:rsidRPr="009E2988">
        <w:rPr>
          <w:strike/>
          <w:color w:val="FF0000"/>
        </w:rPr>
        <w:t>(2) by adding at the end the following new sub-paragraph:</w:t>
      </w:r>
    </w:p>
    <w:p w:rsidRPr="009E2988" w:rsidR="000762A2" w:rsidP="00EC23C6" w:rsidRDefault="000762A2" w14:paraId="0BE82911" w14:textId="77777777">
      <w:pPr>
        <w:pStyle w:val="BodyText"/>
        <w:spacing w:before="240" w:after="0" w:line="276" w:lineRule="auto"/>
        <w:ind w:left="720" w:firstLine="720"/>
        <w:rPr>
          <w:strike/>
          <w:color w:val="FF0000"/>
        </w:rPr>
      </w:pPr>
      <w:r w:rsidRPr="009E2988">
        <w:rPr>
          <w:strike/>
          <w:color w:val="FF0000"/>
        </w:rPr>
        <w:t>‘‘(D)(i) For purposes of subparagraph (C)(ii), subject  to clause (iii), the applicable percent determined under this subparagraph is—</w:t>
      </w:r>
    </w:p>
    <w:p w:rsidRPr="009E2988" w:rsidR="000762A2" w:rsidP="00EC23C6" w:rsidRDefault="000762A2" w14:paraId="0EDF6C62" w14:textId="01F50874">
      <w:pPr>
        <w:pStyle w:val="BodyText"/>
        <w:spacing w:before="240" w:after="0" w:line="276" w:lineRule="auto"/>
        <w:ind w:left="1440" w:firstLine="720"/>
        <w:rPr>
          <w:strike/>
          <w:color w:val="FF0000"/>
        </w:rPr>
      </w:pPr>
      <w:r w:rsidRPr="009E2988">
        <w:rPr>
          <w:strike/>
          <w:color w:val="FF0000"/>
        </w:rPr>
        <w:t>‘‘(I) with respect to a non-expansion State, 6 percent; and</w:t>
      </w:r>
    </w:p>
    <w:p w:rsidRPr="009E2988" w:rsidR="000762A2" w:rsidP="00EC23C6" w:rsidRDefault="000762A2" w14:paraId="2C4DA838" w14:textId="5CDD6D53">
      <w:pPr>
        <w:pStyle w:val="BodyText"/>
        <w:spacing w:before="240" w:after="0" w:line="276" w:lineRule="auto"/>
        <w:ind w:left="1440" w:firstLine="720"/>
        <w:rPr>
          <w:strike/>
          <w:color w:val="FF0000"/>
        </w:rPr>
      </w:pPr>
      <w:r w:rsidRPr="009E2988">
        <w:rPr>
          <w:strike/>
          <w:color w:val="FF0000"/>
        </w:rPr>
        <w:t>‘‘(II) with respect to an expansion State—</w:t>
      </w:r>
    </w:p>
    <w:p w:rsidRPr="009E2988" w:rsidR="000762A2" w:rsidP="00EC23C6" w:rsidRDefault="000762A2" w14:paraId="2F6A8733" w14:textId="5B81761C">
      <w:pPr>
        <w:pStyle w:val="BodyText"/>
        <w:spacing w:before="240" w:after="0" w:line="276" w:lineRule="auto"/>
        <w:ind w:left="2160" w:firstLine="720"/>
        <w:rPr>
          <w:strike/>
          <w:color w:val="FF0000"/>
        </w:rPr>
      </w:pPr>
      <w:r w:rsidRPr="009E2988">
        <w:rPr>
          <w:strike/>
          <w:color w:val="FF0000"/>
        </w:rPr>
        <w:t>‘</w:t>
      </w:r>
      <w:r w:rsidRPr="009E2988" w:rsidR="00F01015">
        <w:rPr>
          <w:strike/>
          <w:color w:val="FF0000"/>
        </w:rPr>
        <w:t>’</w:t>
      </w:r>
      <w:r w:rsidRPr="009E2988">
        <w:rPr>
          <w:strike/>
          <w:color w:val="FF0000"/>
        </w:rPr>
        <w:t>(aa) for fiscal year 2027, 5.5 percent;</w:t>
      </w:r>
    </w:p>
    <w:p w:rsidRPr="009E2988" w:rsidR="000762A2" w:rsidP="00EC23C6" w:rsidRDefault="000762A2" w14:paraId="0EB2AE3E" w14:textId="3422A040">
      <w:pPr>
        <w:pStyle w:val="BodyText"/>
        <w:spacing w:before="240" w:after="0" w:line="276" w:lineRule="auto"/>
        <w:ind w:left="2160" w:firstLine="720"/>
        <w:rPr>
          <w:strike/>
          <w:color w:val="FF0000"/>
        </w:rPr>
      </w:pPr>
      <w:r w:rsidRPr="009E2988">
        <w:rPr>
          <w:strike/>
          <w:color w:val="FF0000"/>
        </w:rPr>
        <w:t>‘‘(bb) for fiscal year 2028, 5 percent;</w:t>
      </w:r>
    </w:p>
    <w:p w:rsidRPr="009E2988" w:rsidR="000762A2" w:rsidP="00EC23C6" w:rsidRDefault="000762A2" w14:paraId="77D32FBA" w14:textId="7B37AE48">
      <w:pPr>
        <w:pStyle w:val="BodyText"/>
        <w:spacing w:before="240" w:after="0" w:line="276" w:lineRule="auto"/>
        <w:ind w:left="2160" w:firstLine="720"/>
        <w:rPr>
          <w:strike/>
          <w:color w:val="FF0000"/>
        </w:rPr>
      </w:pPr>
      <w:r w:rsidRPr="009E2988">
        <w:rPr>
          <w:strike/>
          <w:color w:val="FF0000"/>
        </w:rPr>
        <w:t>‘‘(cc) for fiscal year 2029, 4.5 percent;</w:t>
      </w:r>
    </w:p>
    <w:p w:rsidRPr="009E2988" w:rsidR="000762A2" w:rsidP="00EC23C6" w:rsidRDefault="000762A2" w14:paraId="165ECD2F" w14:textId="3E68E2F3">
      <w:pPr>
        <w:pStyle w:val="BodyText"/>
        <w:spacing w:before="240" w:after="0" w:line="276" w:lineRule="auto"/>
        <w:ind w:left="2160" w:firstLine="720"/>
        <w:rPr>
          <w:strike/>
          <w:color w:val="FF0000"/>
        </w:rPr>
      </w:pPr>
      <w:r w:rsidRPr="009E2988">
        <w:rPr>
          <w:strike/>
          <w:color w:val="FF0000"/>
        </w:rPr>
        <w:t>‘‘(dd) for fiscal year 2030, 4 percent; and</w:t>
      </w:r>
    </w:p>
    <w:p w:rsidRPr="009E2988" w:rsidR="000762A2" w:rsidP="00EC23C6" w:rsidRDefault="000762A2" w14:paraId="52742AFA" w14:textId="405C1622">
      <w:pPr>
        <w:pStyle w:val="BodyText"/>
        <w:spacing w:before="240" w:after="0" w:line="276" w:lineRule="auto"/>
        <w:ind w:left="2160" w:firstLine="720"/>
        <w:rPr>
          <w:strike/>
          <w:color w:val="FF0000"/>
        </w:rPr>
      </w:pPr>
      <w:r w:rsidRPr="009E2988">
        <w:rPr>
          <w:strike/>
          <w:color w:val="FF0000"/>
        </w:rPr>
        <w:t>‘‘(</w:t>
      </w:r>
      <w:proofErr w:type="spellStart"/>
      <w:r w:rsidRPr="009E2988">
        <w:rPr>
          <w:strike/>
          <w:color w:val="FF0000"/>
        </w:rPr>
        <w:t>ee</w:t>
      </w:r>
      <w:proofErr w:type="spellEnd"/>
      <w:r w:rsidRPr="009E2988">
        <w:rPr>
          <w:strike/>
          <w:color w:val="FF0000"/>
        </w:rPr>
        <w:t>) for fiscal year 2031 and each subsequent fiscal year, 3.5 percent</w:t>
      </w:r>
    </w:p>
    <w:p w:rsidRPr="009E2988" w:rsidR="000762A2" w:rsidP="00EC23C6" w:rsidRDefault="000762A2" w14:paraId="22B0CCCF" w14:textId="77777777">
      <w:pPr>
        <w:pStyle w:val="BodyText"/>
        <w:spacing w:before="240" w:after="0" w:line="276" w:lineRule="auto"/>
        <w:ind w:left="720" w:firstLine="720"/>
        <w:rPr>
          <w:strike/>
          <w:color w:val="FF0000"/>
        </w:rPr>
      </w:pPr>
      <w:r w:rsidRPr="009E2988">
        <w:rPr>
          <w:strike/>
          <w:color w:val="FF0000"/>
        </w:rPr>
        <w:t>‘‘(ii) For purposes of clause (i):</w:t>
      </w:r>
    </w:p>
    <w:p w:rsidRPr="009E2988" w:rsidR="000762A2" w:rsidP="00EC23C6" w:rsidRDefault="000762A2" w14:paraId="76A13FB4" w14:textId="74FECBB2">
      <w:pPr>
        <w:pStyle w:val="BodyText"/>
        <w:spacing w:before="240" w:after="0" w:line="276" w:lineRule="auto"/>
        <w:ind w:left="2160"/>
        <w:rPr>
          <w:strike/>
          <w:color w:val="FF0000"/>
        </w:rPr>
      </w:pPr>
      <w:r w:rsidRPr="009E2988">
        <w:rPr>
          <w:strike/>
          <w:color w:val="FF0000"/>
        </w:rPr>
        <w:t>‘‘(I) EXPANSION STATE.—The term ‘expansion State’ means a State that, beginning on January 1, 2014, or on any date thereafter, elects to provide medical assistance to all individuals described in section 1902(a)(10)(A)(i)(VIII) under the State plan under this title or under a waiver of such plan.</w:t>
      </w:r>
    </w:p>
    <w:p w:rsidRPr="009E2988" w:rsidR="000762A2" w:rsidP="00EC23C6" w:rsidRDefault="000762A2" w14:paraId="0B2DD369" w14:textId="093230F8">
      <w:pPr>
        <w:pStyle w:val="BodyText"/>
        <w:spacing w:before="240" w:after="0" w:line="276" w:lineRule="auto"/>
        <w:ind w:left="2160"/>
        <w:rPr>
          <w:strike/>
          <w:color w:val="FF0000"/>
        </w:rPr>
      </w:pPr>
      <w:r w:rsidRPr="009E2988">
        <w:rPr>
          <w:strike/>
          <w:color w:val="FF0000"/>
        </w:rPr>
        <w:t>‘‘(II) NON-EXPANSION STATE.—The term ‘non-expansion State’ means a State that is not an expansion State.</w:t>
      </w:r>
    </w:p>
    <w:p w:rsidRPr="009E2988" w:rsidR="000762A2" w:rsidP="00EC23C6" w:rsidRDefault="000762A2" w14:paraId="30855CCE" w14:textId="691A34B9">
      <w:pPr>
        <w:pStyle w:val="BodyText"/>
        <w:spacing w:before="240" w:after="0" w:line="276" w:lineRule="auto"/>
        <w:ind w:left="720" w:firstLine="720"/>
        <w:rPr>
          <w:strike/>
          <w:color w:val="FF0000"/>
        </w:rPr>
      </w:pPr>
      <w:r w:rsidRPr="009E2988">
        <w:rPr>
          <w:strike/>
          <w:color w:val="FF0000"/>
        </w:rPr>
        <w:t xml:space="preserve">‘‘(iii) In the case of a tax in effect on October 1, 2026, that applies to a class of health care items  or services that is described in paragraph (3) or (4) of section 433.56(a) of title 42, Code of Federal  Regulations (as in effect on May 1, 2025), and for which, on May 1, 2025, is within the hold harmless threshold (as determined by the Secretary), the applicable percent specified in clause (i) shall not apply but only to the extent that such tax is not modified or </w:t>
      </w:r>
      <w:r w:rsidRPr="009E2988">
        <w:rPr>
          <w:strike/>
          <w:color w:val="FF0000"/>
        </w:rPr>
        <w:lastRenderedPageBreak/>
        <w:t>otherwise changed on or after such date unless such tax is to come into compliance with the requirements of this section.’’.</w:t>
      </w:r>
    </w:p>
    <w:p w:rsidR="006B6285" w:rsidP="00EC23C6" w:rsidRDefault="000762A2" w14:paraId="7333A9B0" w14:textId="64D0272E">
      <w:pPr>
        <w:pStyle w:val="BodyText"/>
        <w:spacing w:before="240" w:after="0" w:line="276" w:lineRule="auto"/>
        <w:ind w:firstLine="720"/>
      </w:pPr>
      <w:r>
        <w:t>(</w:t>
      </w:r>
      <w:proofErr w:type="spellStart"/>
      <w:r w:rsidRPr="009E2988">
        <w:rPr>
          <w:strike/>
          <w:color w:val="FF0000"/>
        </w:rPr>
        <w:t>c</w:t>
      </w:r>
      <w:r w:rsidRPr="009E2988" w:rsidR="009E2988">
        <w:rPr>
          <w:color w:val="FF0000"/>
        </w:rPr>
        <w:t>b</w:t>
      </w:r>
      <w:proofErr w:type="spellEnd"/>
      <w:r>
        <w:t>) NON-APPLICATION TO TERRITORIES.—The amendments made by this section shall only apply with</w:t>
      </w:r>
      <w:r w:rsidR="006B6285">
        <w:t xml:space="preserve"> respect to a State that is 1 of the 50 States or the District of Columbia.</w:t>
      </w:r>
    </w:p>
    <w:p w:rsidR="000762A2" w:rsidP="00EC23C6" w:rsidRDefault="006B6285" w14:paraId="06CE9379" w14:textId="4EAA0E77">
      <w:pPr>
        <w:pStyle w:val="BodyText"/>
        <w:spacing w:before="240" w:after="0" w:line="276" w:lineRule="auto"/>
        <w:ind w:firstLine="720"/>
      </w:pPr>
      <w:r>
        <w:t>(</w:t>
      </w:r>
      <w:r w:rsidRPr="009E2988">
        <w:rPr>
          <w:strike/>
          <w:color w:val="FF0000"/>
        </w:rPr>
        <w:t>d</w:t>
      </w:r>
      <w:r w:rsidR="009E2988">
        <w:rPr>
          <w:color w:val="FF0000"/>
        </w:rPr>
        <w:t>c</w:t>
      </w:r>
      <w:r>
        <w:t>) IMPLEMENTATION FUNDING.—For the purposes of carrying out the provisions of, and the amendments made by, this section, there are appropriated, out of any monies in the Treasury not otherwise appropriated, to the Secretary of Health and Human Services, $6,000,000 for fiscal year 2026, to remain available until expended.</w:t>
      </w:r>
      <w:r>
        <w:cr/>
      </w:r>
    </w:p>
    <w:p w:rsidRPr="00877EEF" w:rsidR="00877EEF" w:rsidP="00877EEF" w:rsidRDefault="00877EEF" w14:paraId="638E335A" w14:textId="77777777">
      <w:pPr>
        <w:pStyle w:val="BodyText"/>
        <w:numPr>
          <w:ilvl w:val="0"/>
          <w:numId w:val="39"/>
        </w:numPr>
        <w:spacing w:before="240" w:after="0" w:line="276" w:lineRule="auto"/>
        <w:rPr>
          <w:b/>
          <w:bCs/>
        </w:rPr>
      </w:pPr>
      <w:r>
        <w:rPr>
          <w:rFonts w:eastAsia="Calibri"/>
          <w:b/>
          <w:bCs/>
          <w:szCs w:val="22"/>
        </w:rPr>
        <w:t>State Directed Payments</w:t>
      </w:r>
      <w:r w:rsidRPr="00877EEF">
        <w:rPr>
          <w:rFonts w:eastAsia="Calibri"/>
          <w:b/>
          <w:bCs/>
          <w:szCs w:val="22"/>
        </w:rPr>
        <w:t>.</w:t>
      </w:r>
      <w:r>
        <w:rPr>
          <w:rFonts w:eastAsia="Calibri"/>
          <w:b/>
          <w:bCs/>
          <w:szCs w:val="22"/>
        </w:rPr>
        <w:t xml:space="preserve"> </w:t>
      </w:r>
    </w:p>
    <w:p w:rsidRPr="00877EEF" w:rsidR="00877EEF" w:rsidP="00877EEF" w:rsidRDefault="00877EEF" w14:paraId="79C6BC0F" w14:textId="1555624C">
      <w:pPr>
        <w:pStyle w:val="BodyText"/>
        <w:spacing w:before="240" w:after="0" w:line="276" w:lineRule="auto"/>
        <w:ind w:left="360"/>
        <w:rPr>
          <w:b/>
          <w:bCs/>
        </w:rPr>
      </w:pPr>
      <w:r>
        <w:rPr>
          <w:rFonts w:eastAsia="Calibri"/>
          <w:b/>
          <w:bCs/>
          <w:szCs w:val="22"/>
        </w:rPr>
        <w:t xml:space="preserve">Solution: </w:t>
      </w:r>
      <w:r w:rsidRPr="00877EEF">
        <w:rPr>
          <w:rFonts w:eastAsia="Calibri"/>
          <w:szCs w:val="22"/>
        </w:rPr>
        <w:t>Consistent with the House language, freeze SDPs at the current level</w:t>
      </w:r>
      <w:r w:rsidRPr="00877EEF">
        <w:rPr>
          <w:rFonts w:eastAsia="Calibri"/>
          <w:szCs w:val="22"/>
        </w:rPr>
        <w:t xml:space="preserve">.  </w:t>
      </w:r>
    </w:p>
    <w:p w:rsidRPr="006B6285" w:rsidR="006B6285" w:rsidP="00EC23C6" w:rsidRDefault="006B6285" w14:paraId="49C59F25" w14:textId="1B66C8A2">
      <w:pPr>
        <w:pStyle w:val="BodyText"/>
        <w:spacing w:before="240" w:after="0" w:line="276" w:lineRule="auto"/>
        <w:rPr>
          <w:b/>
          <w:bCs/>
        </w:rPr>
      </w:pPr>
      <w:r w:rsidRPr="006B6285">
        <w:rPr>
          <w:b/>
          <w:bCs/>
        </w:rPr>
        <w:t>S</w:t>
      </w:r>
      <w:r>
        <w:rPr>
          <w:b/>
          <w:bCs/>
        </w:rPr>
        <w:t>EC</w:t>
      </w:r>
      <w:r w:rsidRPr="006B6285">
        <w:rPr>
          <w:b/>
          <w:bCs/>
        </w:rPr>
        <w:t xml:space="preserve">. 71121. </w:t>
      </w:r>
      <w:r>
        <w:rPr>
          <w:b/>
          <w:bCs/>
        </w:rPr>
        <w:t>STATE DIRECTED PAYMENTS</w:t>
      </w:r>
    </w:p>
    <w:p w:rsidR="006B6285" w:rsidP="009E2988" w:rsidRDefault="009E2988" w14:paraId="68F71B6E" w14:textId="747B9E63">
      <w:pPr>
        <w:pStyle w:val="BodyText"/>
        <w:spacing w:before="240" w:after="0" w:line="276" w:lineRule="auto"/>
        <w:ind w:firstLine="720"/>
      </w:pPr>
      <w:r>
        <w:t>….</w:t>
      </w:r>
    </w:p>
    <w:p w:rsidR="006B6285" w:rsidP="00EC23C6" w:rsidRDefault="006B6285" w14:paraId="64F62F6A" w14:textId="0B5DD868">
      <w:pPr>
        <w:pStyle w:val="BodyText"/>
        <w:spacing w:before="240" w:after="0" w:line="276" w:lineRule="auto"/>
        <w:ind w:firstLine="720"/>
      </w:pPr>
      <w:r>
        <w:t xml:space="preserve">(b) GRANDFATHERING CERTAIN PAYMENTS.—In the case of a payment described in section 438.6(c)(2)(iii) of title 42, Code of Federal Regulations (or a successor regulation) </w:t>
      </w:r>
      <w:r w:rsidR="008F7628">
        <w:rPr>
          <w:color w:val="FF0000"/>
        </w:rPr>
        <w:t xml:space="preserve">for a state directed payment </w:t>
      </w:r>
      <w:r w:rsidRPr="008F7628">
        <w:rPr>
          <w:strike/>
          <w:color w:val="FF0000"/>
        </w:rPr>
        <w:t>for which written prior approval (or a good faith effort to receive such approval, as determined by the Secretary) was made before May 1, 2025,</w:t>
      </w:r>
      <w:r w:rsidRPr="008F7628">
        <w:rPr>
          <w:color w:val="FF0000"/>
        </w:rPr>
        <w:t xml:space="preserve"> </w:t>
      </w:r>
      <w:r>
        <w:t xml:space="preserve">for </w:t>
      </w:r>
      <w:r w:rsidRPr="004B7225">
        <w:t xml:space="preserve">the </w:t>
      </w:r>
      <w:r>
        <w:t xml:space="preserve">rating period occurring </w:t>
      </w:r>
      <w:r w:rsidR="004B7225">
        <w:rPr>
          <w:color w:val="FF0000"/>
        </w:rPr>
        <w:t xml:space="preserve">on or </w:t>
      </w:r>
      <w:r>
        <w:t>within 180 days of the date of enactment</w:t>
      </w:r>
      <w:r w:rsidR="00603F02">
        <w:rPr>
          <w:color w:val="FF0000"/>
        </w:rPr>
        <w:t xml:space="preserve"> of this Act</w:t>
      </w:r>
      <w:r w:rsidRPr="008F7628">
        <w:rPr>
          <w:strike/>
          <w:color w:val="FF0000"/>
        </w:rPr>
        <w:t>, or a payment so described for such rating period</w:t>
      </w:r>
      <w:r w:rsidRPr="008F7628">
        <w:rPr>
          <w:color w:val="FF0000"/>
        </w:rPr>
        <w:t xml:space="preserve"> </w:t>
      </w:r>
      <w:r>
        <w:t>for which a completed preprint was submitted to the Secretary prior to such date of enactment</w:t>
      </w:r>
      <w:r w:rsidRPr="008F7628">
        <w:rPr>
          <w:strike/>
          <w:color w:val="FF0000"/>
        </w:rPr>
        <w:t>, beginning with the rating period on or after January 1, 2027, the total amount of such payment shall be reduced by 10 percentage points each year until the total payment rate for such service is equal to the rate</w:t>
      </w:r>
      <w:r>
        <w:t xml:space="preserve"> </w:t>
      </w:r>
      <w:r w:rsidR="008F7628">
        <w:rPr>
          <w:color w:val="FF0000"/>
        </w:rPr>
        <w:t xml:space="preserve">the limitation </w:t>
      </w:r>
      <w:r>
        <w:t>specified in subsection (a)</w:t>
      </w:r>
      <w:r w:rsidR="008F7628">
        <w:t xml:space="preserve"> </w:t>
      </w:r>
      <w:r w:rsidRPr="008F7628" w:rsidR="008F7628">
        <w:rPr>
          <w:color w:val="FF0000"/>
        </w:rPr>
        <w:t xml:space="preserve">shall not be applied by the Secretary to </w:t>
      </w:r>
      <w:r w:rsidR="004B7225">
        <w:rPr>
          <w:color w:val="FF0000"/>
        </w:rPr>
        <w:t>the</w:t>
      </w:r>
      <w:r w:rsidRPr="008F7628" w:rsidR="008F7628">
        <w:rPr>
          <w:color w:val="FF0000"/>
        </w:rPr>
        <w:t xml:space="preserve"> total payment rate for such rating period, and the limitation described in subsection (a) shall also not be applied to any subsequent rating period if the amount of </w:t>
      </w:r>
      <w:r w:rsidR="004B7225">
        <w:rPr>
          <w:color w:val="FF0000"/>
        </w:rPr>
        <w:t>the</w:t>
      </w:r>
      <w:r w:rsidRPr="008F7628" w:rsidR="008F7628">
        <w:rPr>
          <w:color w:val="FF0000"/>
        </w:rPr>
        <w:t xml:space="preserve"> total payment rate in such subsequent period is calculated using the same methodology utilized to calculate the total payment rate approved for the rating period occurring </w:t>
      </w:r>
      <w:r w:rsidR="004B7225">
        <w:rPr>
          <w:color w:val="FF0000"/>
        </w:rPr>
        <w:t>on or within 180 days</w:t>
      </w:r>
      <w:r w:rsidRPr="008F7628" w:rsidR="008F7628">
        <w:rPr>
          <w:color w:val="FF0000"/>
        </w:rPr>
        <w:t xml:space="preserve"> of the date of enactment (irrespective of any impact on total payment amount) and the state directed payment program in such subsequent period is substanti</w:t>
      </w:r>
      <w:r w:rsidR="004B7225">
        <w:rPr>
          <w:color w:val="FF0000"/>
        </w:rPr>
        <w:t>al</w:t>
      </w:r>
      <w:r w:rsidRPr="008F7628" w:rsidR="008F7628">
        <w:rPr>
          <w:color w:val="FF0000"/>
        </w:rPr>
        <w:t xml:space="preserve">ly similar or identical to the state directed payment program approved for the rating period occurring </w:t>
      </w:r>
      <w:r w:rsidR="004B7225">
        <w:rPr>
          <w:color w:val="FF0000"/>
        </w:rPr>
        <w:t>on or within 180 days</w:t>
      </w:r>
      <w:r w:rsidRPr="008F7628" w:rsidR="004B7225">
        <w:rPr>
          <w:color w:val="FF0000"/>
        </w:rPr>
        <w:t xml:space="preserve"> </w:t>
      </w:r>
      <w:r w:rsidRPr="008F7628" w:rsidR="008F7628">
        <w:rPr>
          <w:color w:val="FF0000"/>
        </w:rPr>
        <w:t>of the date of enactment, and such program otherwise adheres to the requirements of section 438.6 of title 42, Code of Federal Regulations as in effect on the date of enactment</w:t>
      </w:r>
      <w:r>
        <w:t>.</w:t>
      </w:r>
    </w:p>
    <w:p w:rsidR="008943CA" w:rsidP="00EC23C6" w:rsidRDefault="0032078A" w14:paraId="0DF12E24" w14:textId="52F22691">
      <w:pPr>
        <w:pStyle w:val="BodyText"/>
        <w:spacing w:before="240" w:after="0" w:line="276" w:lineRule="auto"/>
        <w:ind w:firstLine="720"/>
      </w:pPr>
      <w:r>
        <w:t>….</w:t>
      </w:r>
    </w:p>
    <w:p w:rsidR="00877EEF" w:rsidP="00877EEF" w:rsidRDefault="00386043" w14:paraId="0EA7B470" w14:textId="62F18EEF">
      <w:pPr>
        <w:pStyle w:val="BodyText"/>
        <w:numPr>
          <w:ilvl w:val="0"/>
          <w:numId w:val="39"/>
        </w:numPr>
        <w:spacing w:before="240" w:after="0" w:line="276" w:lineRule="auto"/>
        <w:rPr>
          <w:b/>
          <w:bCs/>
        </w:rPr>
      </w:pPr>
      <w:r w:rsidRPr="00386043">
        <w:rPr>
          <w:b/>
          <w:bCs/>
        </w:rPr>
        <w:t>New Provider Tax Waiver Test</w:t>
      </w:r>
    </w:p>
    <w:p w:rsidR="00386043" w:rsidP="00386043" w:rsidRDefault="00386043" w14:paraId="5C9B3A4B" w14:textId="5EBF0E71">
      <w:pPr>
        <w:pStyle w:val="ListParagraph"/>
        <w:spacing w:before="240" w:line="276" w:lineRule="auto"/>
        <w:ind w:left="360"/>
      </w:pPr>
      <w:r w:rsidRPr="00D219F7">
        <w:rPr>
          <w:b/>
          <w:bCs/>
        </w:rPr>
        <w:t>Solution</w:t>
      </w:r>
      <w:r>
        <w:t>: Require that test be objective and not based on the “same effect.”</w:t>
      </w:r>
    </w:p>
    <w:p w:rsidRPr="00B624F7" w:rsidR="00386043" w:rsidP="00386043" w:rsidRDefault="00386043" w14:paraId="1D2094D4" w14:textId="352C911D">
      <w:pPr>
        <w:spacing w:before="240" w:line="276" w:lineRule="auto"/>
        <w:rPr>
          <w:b/>
          <w:bCs/>
        </w:rPr>
      </w:pPr>
      <w:r w:rsidRPr="00B624F7">
        <w:rPr>
          <w:b/>
          <w:bCs/>
        </w:rPr>
        <w:t xml:space="preserve">SEC. </w:t>
      </w:r>
      <w:r w:rsidR="00214144">
        <w:rPr>
          <w:b/>
          <w:bCs/>
        </w:rPr>
        <w:t>71122</w:t>
      </w:r>
      <w:r w:rsidRPr="00B624F7">
        <w:rPr>
          <w:b/>
          <w:bCs/>
        </w:rPr>
        <w:t xml:space="preserve">. REQUIREMENTS REGARDING WAIVER OF UNIFORM TAX REQUIREMENT FOR MEDICAID PROVIDER TAX. </w:t>
      </w:r>
    </w:p>
    <w:p w:rsidR="00386043" w:rsidP="00386043" w:rsidRDefault="00386043" w14:paraId="05FA4F74" w14:textId="77777777">
      <w:pPr>
        <w:spacing w:before="240" w:line="276" w:lineRule="auto"/>
        <w:ind w:firstLine="720"/>
      </w:pPr>
      <w:r>
        <w:t xml:space="preserve">(a) IN GENERAL.—Section 1903(w) of the Social Security Act (42 U.S.C. 1396b(w)) is amended— </w:t>
      </w:r>
    </w:p>
    <w:p w:rsidR="00386043" w:rsidP="00386043" w:rsidRDefault="00386043" w14:paraId="6EC6BEB9" w14:textId="77777777">
      <w:pPr>
        <w:spacing w:before="240" w:line="276" w:lineRule="auto"/>
        <w:ind w:left="720" w:firstLine="720"/>
      </w:pPr>
      <w:r>
        <w:lastRenderedPageBreak/>
        <w:t xml:space="preserve">(1) in paragraph (3)(E), by inserting after clause (ii)(II) the following new clause: </w:t>
      </w:r>
    </w:p>
    <w:p w:rsidR="00386043" w:rsidP="00386043" w:rsidRDefault="00386043" w14:paraId="598FB824" w14:textId="77777777">
      <w:pPr>
        <w:spacing w:before="240" w:line="276" w:lineRule="auto"/>
        <w:ind w:firstLine="720"/>
      </w:pPr>
      <w:r>
        <w:t>‘‘(iii) For purposes of clause (ii)(I), a tax</w:t>
      </w:r>
      <w:r>
        <w:rPr>
          <w:color w:val="FF0000"/>
        </w:rPr>
        <w:t xml:space="preserve"> </w:t>
      </w:r>
      <w:r>
        <w:t>is not considered to be generally redistributive if any of the following conditions apply</w:t>
      </w:r>
      <w:r>
        <w:rPr>
          <w:color w:val="FF0000"/>
        </w:rPr>
        <w:t>, as specified in an objective test promulgated in regulations by the Secretary of Health and Human Services</w:t>
      </w:r>
      <w:r>
        <w:t xml:space="preserve">: </w:t>
      </w:r>
    </w:p>
    <w:p w:rsidR="00386043" w:rsidP="00386043" w:rsidRDefault="00386043" w14:paraId="79981D82" w14:textId="77777777">
      <w:pPr>
        <w:spacing w:before="240" w:line="276" w:lineRule="auto"/>
        <w:ind w:firstLine="720"/>
      </w:pPr>
      <w:r>
        <w:t xml:space="preserve">‘‘(I) Within a permissible class, the tax rate imposed on any taxpayer or tax rate group (as defined in paragraph (7)(J)) explicitly defined by its relatively lower volume or percentage of Medicaid taxable units (as defined in paragraph (7)(H)) is lower than the tax rate imposed on any other taxpayer or tax rate group explicitly defined by its relatively higher volume or percentage of Medicaid taxable units. </w:t>
      </w:r>
    </w:p>
    <w:p w:rsidR="00386043" w:rsidP="00386043" w:rsidRDefault="00386043" w14:paraId="5BB0FBA9" w14:textId="77777777">
      <w:pPr>
        <w:spacing w:before="240" w:line="276" w:lineRule="auto"/>
        <w:ind w:firstLine="720"/>
      </w:pPr>
      <w:r>
        <w:t>‘‘(II) Within a permissible class, the tax rate imposed on any taxpayer or tax rate group (as so defined) based upon its Medicaid taxable units (as so defined) is higher than the tax rate imposed on any taxpayer or tax rate group based upon its non-Medicaid taxable unit (as defined in paragraph (7)(I)).</w:t>
      </w:r>
    </w:p>
    <w:p w:rsidRPr="002D0A8F" w:rsidR="00386043" w:rsidP="00386043" w:rsidRDefault="00386043" w14:paraId="2FB370EA" w14:textId="77777777">
      <w:pPr>
        <w:spacing w:before="240" w:line="276" w:lineRule="auto"/>
        <w:ind w:firstLine="720"/>
        <w:rPr>
          <w:strike/>
          <w:color w:val="FF0000"/>
        </w:rPr>
      </w:pPr>
      <w:r w:rsidRPr="002D0A8F">
        <w:rPr>
          <w:strike/>
          <w:color w:val="FF0000"/>
        </w:rPr>
        <w:t xml:space="preserve">‘‘(III) The tax excludes or imposes a lower tax rate on a taxpayer or tax rate group (as so defined) based on or defined by any description that results in the same effect as described in subclause (I) or (II) for a taxpayer or tax rate group. Characteristics that may indicate such type of exclusion include the use of terminology to establish a tax rate group— </w:t>
      </w:r>
    </w:p>
    <w:p w:rsidRPr="002D0A8F" w:rsidR="00386043" w:rsidP="00386043" w:rsidRDefault="00386043" w14:paraId="11FF97C7" w14:textId="77777777">
      <w:pPr>
        <w:spacing w:before="240" w:line="276" w:lineRule="auto"/>
        <w:ind w:firstLine="720"/>
        <w:rPr>
          <w:strike/>
          <w:color w:val="FF0000"/>
        </w:rPr>
      </w:pPr>
      <w:r w:rsidRPr="002D0A8F">
        <w:rPr>
          <w:strike/>
          <w:color w:val="FF0000"/>
        </w:rPr>
        <w:t xml:space="preserve">‘‘(aa) based on payments or expenditures made under the program under this title without mentioning the term ‘Medicaid’ (or any similar term) to accomplish the same effect as described in subclause (I) or (II); or </w:t>
      </w:r>
    </w:p>
    <w:p w:rsidR="00386043" w:rsidP="00386043" w:rsidRDefault="00386043" w14:paraId="156E6DCF" w14:textId="77777777">
      <w:pPr>
        <w:spacing w:before="240" w:line="276" w:lineRule="auto"/>
        <w:ind w:firstLine="720"/>
      </w:pPr>
      <w:r w:rsidRPr="002D0A8F">
        <w:rPr>
          <w:strike/>
          <w:color w:val="FF0000"/>
        </w:rPr>
        <w:t>‘‘(bb) that closely approximates a taxpayer or tax rate group under the program under this title, to the same effect as described in subclause (I) or (II).</w:t>
      </w:r>
      <w:r>
        <w:t>’’; and</w:t>
      </w:r>
    </w:p>
    <w:p w:rsidR="00386043" w:rsidP="00386043" w:rsidRDefault="00386043" w14:paraId="487760BC" w14:textId="77777777">
      <w:pPr>
        <w:spacing w:before="240" w:line="276" w:lineRule="auto"/>
        <w:ind w:firstLine="720"/>
      </w:pPr>
      <w:r>
        <w:t>….</w:t>
      </w:r>
    </w:p>
    <w:p w:rsidRPr="00214144" w:rsidR="00214144" w:rsidP="00214144" w:rsidRDefault="007350FE" w14:paraId="67CB8F81" w14:textId="0EC79E23">
      <w:pPr>
        <w:numPr>
          <w:ilvl w:val="0"/>
          <w:numId w:val="39"/>
        </w:numPr>
        <w:spacing w:after="200" w:line="276" w:lineRule="auto"/>
        <w:contextualSpacing/>
        <w:rPr>
          <w:rFonts w:eastAsia="Calibri"/>
          <w:b/>
          <w:bCs/>
          <w:szCs w:val="22"/>
        </w:rPr>
      </w:pPr>
      <w:r>
        <w:rPr>
          <w:rFonts w:eastAsia="Calibri"/>
          <w:b/>
          <w:bCs/>
          <w:szCs w:val="22"/>
        </w:rPr>
        <w:t>Authority for</w:t>
      </w:r>
      <w:r w:rsidRPr="00214144" w:rsidR="00214144">
        <w:rPr>
          <w:rFonts w:eastAsia="Calibri"/>
          <w:b/>
          <w:bCs/>
          <w:szCs w:val="22"/>
        </w:rPr>
        <w:t xml:space="preserve"> HHS Regulations </w:t>
      </w:r>
    </w:p>
    <w:p w:rsidRPr="00214144" w:rsidR="00214144" w:rsidP="00214144" w:rsidRDefault="00214144" w14:paraId="074D466C" w14:textId="77777777">
      <w:pPr>
        <w:spacing w:after="200" w:line="276" w:lineRule="auto"/>
        <w:ind w:left="360"/>
        <w:contextualSpacing/>
        <w:rPr>
          <w:rFonts w:eastAsia="Calibri"/>
          <w:b/>
          <w:bCs/>
          <w:szCs w:val="22"/>
        </w:rPr>
      </w:pPr>
    </w:p>
    <w:p w:rsidRPr="00214144" w:rsidR="00214144" w:rsidP="00214144" w:rsidRDefault="00214144" w14:paraId="3A9348B2" w14:textId="63258958">
      <w:pPr>
        <w:spacing w:after="200" w:line="276" w:lineRule="auto"/>
        <w:ind w:left="360"/>
        <w:contextualSpacing/>
        <w:rPr>
          <w:rFonts w:eastAsia="Calibri"/>
          <w:szCs w:val="22"/>
        </w:rPr>
      </w:pPr>
      <w:r w:rsidRPr="00214144">
        <w:rPr>
          <w:rFonts w:eastAsia="Calibri"/>
          <w:b/>
          <w:bCs/>
          <w:szCs w:val="22"/>
        </w:rPr>
        <w:t>Solution</w:t>
      </w:r>
      <w:r w:rsidRPr="00214144">
        <w:rPr>
          <w:rFonts w:eastAsia="Calibri"/>
          <w:szCs w:val="22"/>
        </w:rPr>
        <w:t xml:space="preserve">: </w:t>
      </w:r>
      <w:r w:rsidR="007350FE">
        <w:rPr>
          <w:rFonts w:eastAsia="Calibri"/>
          <w:szCs w:val="22"/>
        </w:rPr>
        <w:t xml:space="preserve">Consistent with </w:t>
      </w:r>
      <w:proofErr w:type="spellStart"/>
      <w:r w:rsidR="007350FE">
        <w:rPr>
          <w:rFonts w:eastAsia="Calibri"/>
          <w:szCs w:val="22"/>
        </w:rPr>
        <w:t>Loper</w:t>
      </w:r>
      <w:proofErr w:type="spellEnd"/>
      <w:r w:rsidR="007350FE">
        <w:rPr>
          <w:rFonts w:eastAsia="Calibri"/>
          <w:szCs w:val="22"/>
        </w:rPr>
        <w:t xml:space="preserve"> Bright, s</w:t>
      </w:r>
      <w:r w:rsidRPr="00214144">
        <w:rPr>
          <w:rFonts w:eastAsia="Calibri"/>
          <w:szCs w:val="22"/>
        </w:rPr>
        <w:t>pecify how Congress wants regulations issued and require consultation with states.</w:t>
      </w:r>
    </w:p>
    <w:p w:rsidR="00214144" w:rsidP="00214144" w:rsidRDefault="00214144" w14:paraId="332DA084" w14:textId="77777777">
      <w:pPr>
        <w:spacing w:after="200" w:line="276" w:lineRule="auto"/>
        <w:ind w:left="1080"/>
        <w:rPr>
          <w:rFonts w:eastAsia="Calibri"/>
          <w:b/>
          <w:bCs/>
          <w:szCs w:val="22"/>
        </w:rPr>
      </w:pPr>
    </w:p>
    <w:p w:rsidRPr="00214144" w:rsidR="00214144" w:rsidP="00214144" w:rsidRDefault="00214144" w14:paraId="44710779" w14:textId="658134BC">
      <w:pPr>
        <w:spacing w:after="200" w:line="276" w:lineRule="auto"/>
        <w:rPr>
          <w:rFonts w:eastAsia="Calibri"/>
          <w:b/>
          <w:bCs/>
          <w:szCs w:val="22"/>
        </w:rPr>
      </w:pPr>
      <w:r w:rsidRPr="00214144">
        <w:rPr>
          <w:rFonts w:eastAsia="Calibri"/>
          <w:b/>
          <w:bCs/>
          <w:szCs w:val="22"/>
        </w:rPr>
        <w:t xml:space="preserve">SEC. </w:t>
      </w:r>
      <w:r>
        <w:rPr>
          <w:rFonts w:eastAsia="Calibri"/>
          <w:b/>
          <w:bCs/>
          <w:szCs w:val="22"/>
        </w:rPr>
        <w:t>71121</w:t>
      </w:r>
      <w:r w:rsidRPr="00214144">
        <w:rPr>
          <w:rFonts w:eastAsia="Calibri"/>
          <w:b/>
          <w:bCs/>
          <w:szCs w:val="22"/>
        </w:rPr>
        <w:t xml:space="preserve">. STATE DIRECTED PAYMENTS. </w:t>
      </w:r>
    </w:p>
    <w:p w:rsidRPr="00214144" w:rsidR="00214144" w:rsidP="00214144" w:rsidRDefault="00214144" w14:paraId="3F387976" w14:textId="7290686D">
      <w:pPr>
        <w:tabs>
          <w:tab w:val="left" w:pos="810"/>
        </w:tabs>
        <w:spacing w:after="200" w:line="276" w:lineRule="auto"/>
        <w:rPr>
          <w:rFonts w:eastAsia="Calibri"/>
          <w:szCs w:val="22"/>
        </w:rPr>
      </w:pPr>
      <w:r>
        <w:rPr>
          <w:rFonts w:eastAsia="Calibri"/>
          <w:szCs w:val="22"/>
        </w:rPr>
        <w:tab/>
      </w:r>
      <w:r w:rsidRPr="00214144">
        <w:rPr>
          <w:rFonts w:eastAsia="Calibri"/>
          <w:szCs w:val="22"/>
        </w:rPr>
        <w:t>….</w:t>
      </w:r>
    </w:p>
    <w:p w:rsidRPr="00214144" w:rsidR="00214144" w:rsidP="00214144" w:rsidRDefault="00214144" w14:paraId="749868CC" w14:textId="77777777">
      <w:pPr>
        <w:spacing w:after="200" w:line="276" w:lineRule="auto"/>
        <w:ind w:left="-360" w:firstLine="1080"/>
        <w:rPr>
          <w:rFonts w:eastAsia="Calibri"/>
          <w:color w:val="FF0000"/>
          <w:szCs w:val="22"/>
        </w:rPr>
      </w:pPr>
      <w:r w:rsidRPr="00214144">
        <w:rPr>
          <w:rFonts w:eastAsia="Calibri"/>
          <w:color w:val="FF0000"/>
          <w:szCs w:val="22"/>
        </w:rPr>
        <w:t>(f) AUTHORITY TO ISSUE REGULATIONS.—</w:t>
      </w:r>
    </w:p>
    <w:p w:rsidRPr="00214144" w:rsidR="00214144" w:rsidP="00214144" w:rsidRDefault="00214144" w14:paraId="15F95E83" w14:textId="77777777">
      <w:pPr>
        <w:spacing w:after="200" w:line="276" w:lineRule="auto"/>
        <w:ind w:left="360" w:firstLine="720"/>
        <w:rPr>
          <w:rFonts w:eastAsia="Calibri"/>
          <w:color w:val="FF0000"/>
          <w:szCs w:val="22"/>
        </w:rPr>
      </w:pPr>
      <w:r w:rsidRPr="00214144">
        <w:rPr>
          <w:rFonts w:eastAsia="Calibri"/>
          <w:color w:val="FF0000"/>
          <w:szCs w:val="22"/>
        </w:rPr>
        <w:t>(1) IN GENERAL.–Subject to paragraphs (2) and (3), the Secretary of Health and Human Services shall issue such regulations as may be necessary to implement this Section and the amendments made by this Act.</w:t>
      </w:r>
    </w:p>
    <w:p w:rsidRPr="00214144" w:rsidR="00214144" w:rsidP="00214144" w:rsidRDefault="00214144" w14:paraId="1AAB7992" w14:textId="77777777">
      <w:pPr>
        <w:spacing w:after="200" w:line="276" w:lineRule="auto"/>
        <w:ind w:left="360" w:firstLine="720"/>
        <w:rPr>
          <w:rFonts w:eastAsia="Calibri"/>
          <w:color w:val="FF0000"/>
          <w:szCs w:val="22"/>
        </w:rPr>
      </w:pPr>
      <w:r w:rsidRPr="00214144">
        <w:rPr>
          <w:rFonts w:eastAsia="Calibri"/>
          <w:color w:val="FF0000"/>
          <w:szCs w:val="22"/>
        </w:rPr>
        <w:t xml:space="preserve">(2) RESTRICTIONS.–The Secretary may not issue any regulation that revises section 438.6 of title 42, Code of Federal Regulations, except as specified in this Section, and may not issue any regulation impacting subpart B of part 433 of title 42, Code of Federal Regulations, except as specified in this Act. </w:t>
      </w:r>
    </w:p>
    <w:p w:rsidRPr="00214144" w:rsidR="00386043" w:rsidP="00214144" w:rsidRDefault="00214144" w14:paraId="20F1BF1A" w14:textId="28737E46">
      <w:pPr>
        <w:spacing w:after="200" w:line="276" w:lineRule="auto"/>
        <w:ind w:left="360" w:firstLine="720"/>
        <w:rPr>
          <w:rFonts w:eastAsia="Calibri"/>
          <w:color w:val="FF0000"/>
          <w:szCs w:val="22"/>
        </w:rPr>
      </w:pPr>
      <w:r w:rsidRPr="00214144">
        <w:rPr>
          <w:rFonts w:eastAsia="Calibri"/>
          <w:color w:val="FF0000"/>
          <w:szCs w:val="22"/>
        </w:rPr>
        <w:lastRenderedPageBreak/>
        <w:t>(3) CONSULTATION WITH STATES.–The Secretary shall consult with states before issuing any regulation under this Act.</w:t>
      </w:r>
    </w:p>
    <w:sectPr w:rsidRPr="00214144" w:rsidR="00386043" w:rsidSect="000762A2">
      <w:footerReference w:type="default" r:id="rId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2A2" w:rsidRDefault="000762A2" w14:paraId="7E3E3CED" w14:textId="77777777">
      <w:r>
        <w:separator/>
      </w:r>
    </w:p>
  </w:endnote>
  <w:endnote w:type="continuationSeparator" w:id="0">
    <w:p w:rsidR="000762A2" w:rsidRDefault="000762A2" w14:paraId="037997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2B61" w:rsidR="006D7048" w:rsidP="00B52B61" w:rsidRDefault="00214144" w14:paraId="236023B7" w14:textId="154C990E">
    <w:pPr>
      <w:pStyle w:val="Footer"/>
      <w:rPr>
        <w:rStyle w:val="PageNumber"/>
      </w:rPr>
    </w:pPr>
    <w:r w:rsidRPr="00214144">
      <w:t>Senate Finance Committee Language</w:t>
    </w:r>
    <w:r>
      <w:t xml:space="preserve"> Revisions</w:t>
    </w:r>
    <w:r w:rsidR="006D7048">
      <w:tab/>
    </w:r>
    <w:r w:rsidR="006D7048">
      <w:rPr>
        <w:rStyle w:val="PageNumber"/>
      </w:rPr>
      <w:fldChar w:fldCharType="begin"/>
    </w:r>
    <w:r w:rsidR="006D7048">
      <w:rPr>
        <w:rStyle w:val="PageNumber"/>
      </w:rPr>
      <w:instrText xml:space="preserve"> PAGE </w:instrText>
    </w:r>
    <w:r w:rsidR="006D7048">
      <w:rPr>
        <w:rStyle w:val="PageNumber"/>
      </w:rPr>
      <w:fldChar w:fldCharType="separate"/>
    </w:r>
    <w:r w:rsidR="006D7048">
      <w:rPr>
        <w:rStyle w:val="PageNumber"/>
      </w:rPr>
      <w:t>1</w:t>
    </w:r>
    <w:r w:rsidR="006D704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2A2" w:rsidRDefault="000762A2" w14:paraId="0553A7B6" w14:textId="77777777">
      <w:r>
        <w:separator/>
      </w:r>
    </w:p>
  </w:footnote>
  <w:footnote w:type="continuationSeparator" w:id="0">
    <w:p w:rsidR="000762A2" w:rsidRDefault="000762A2" w14:paraId="722DA6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1B5B2BB9"/>
    <w:multiLevelType w:val="multilevel"/>
    <w:tmpl w:val="6C64C4AA"/>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upperLetter"/>
      <w:suff w:val="nothing"/>
      <w:lvlText w:val="Exhibit %9"/>
      <w:lvlJc w:val="left"/>
      <w:pPr>
        <w:ind w:left="0" w:firstLine="0"/>
      </w:pPr>
      <w:rPr>
        <w:rFonts w:cs="Times New Roman" w:hint="default"/>
        <w:vanish w:val="0"/>
        <w:u w:val="none"/>
      </w:rPr>
    </w:lvl>
  </w:abstractNum>
  <w:abstractNum w:abstractNumId="13" w15:restartNumberingAfterBreak="0">
    <w:nsid w:val="1F000638"/>
    <w:multiLevelType w:val="multilevel"/>
    <w:tmpl w:val="182EF50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14" w15:restartNumberingAfterBreak="0">
    <w:nsid w:val="2A373242"/>
    <w:multiLevelType w:val="multilevel"/>
    <w:tmpl w:val="2662C15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upperLetter"/>
      <w:suff w:val="nothing"/>
      <w:lvlText w:val="Exhibit %9"/>
      <w:lvlJc w:val="left"/>
      <w:pPr>
        <w:ind w:left="0" w:firstLine="0"/>
      </w:pPr>
      <w:rPr>
        <w:rFonts w:hint="default"/>
        <w:vanish w:val="0"/>
        <w:u w:val="none"/>
      </w:rPr>
    </w:lvl>
  </w:abstractNum>
  <w:abstractNum w:abstractNumId="15" w15:restartNumberingAfterBreak="0">
    <w:nsid w:val="2AA53FD9"/>
    <w:multiLevelType w:val="hybridMultilevel"/>
    <w:tmpl w:val="5C2A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E2B"/>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17"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370C0C"/>
    <w:multiLevelType w:val="multilevel"/>
    <w:tmpl w:val="34946D14"/>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upp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0"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1"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5327644"/>
    <w:multiLevelType w:val="multilevel"/>
    <w:tmpl w:val="C688D33A"/>
    <w:lvl w:ilvl="0">
      <w:start w:val="1"/>
      <w:numFmt w:val="decimal"/>
      <w:pStyle w:val="Heading1"/>
      <w:lvlText w:val="%1."/>
      <w:lvlJc w:val="left"/>
      <w:pPr>
        <w:tabs>
          <w:tab w:val="num" w:pos="1440"/>
        </w:tabs>
        <w:ind w:left="1440" w:hanging="720"/>
      </w:pPr>
      <w:rPr>
        <w:rFonts w:cs="Times New Roman" w:hint="default"/>
        <w:vanish w:val="0"/>
        <w:u w:val="none"/>
      </w:rPr>
    </w:lvl>
    <w:lvl w:ilvl="1">
      <w:start w:val="1"/>
      <w:numFmt w:val="lowerLetter"/>
      <w:pStyle w:val="Heading2"/>
      <w:lvlText w:val="%2."/>
      <w:lvlJc w:val="left"/>
      <w:pPr>
        <w:tabs>
          <w:tab w:val="num" w:pos="2160"/>
        </w:tabs>
        <w:ind w:left="2160" w:hanging="720"/>
      </w:pPr>
      <w:rPr>
        <w:rFonts w:cs="Times New Roman" w:hint="default"/>
        <w:vanish w:val="0"/>
        <w:u w:val="none"/>
      </w:rPr>
    </w:lvl>
    <w:lvl w:ilvl="2">
      <w:start w:val="1"/>
      <w:numFmt w:val="lowerRoman"/>
      <w:pStyle w:val="Heading3"/>
      <w:lvlText w:val="%3."/>
      <w:lvlJc w:val="left"/>
      <w:pPr>
        <w:tabs>
          <w:tab w:val="num" w:pos="2880"/>
        </w:tabs>
        <w:ind w:left="2880" w:hanging="720"/>
      </w:pPr>
      <w:rPr>
        <w:rFonts w:cs="Times New Roman" w:hint="default"/>
        <w:b w:val="0"/>
        <w:i w:val="0"/>
        <w:vanish w:val="0"/>
        <w:u w:val="none"/>
      </w:rPr>
    </w:lvl>
    <w:lvl w:ilvl="3">
      <w:start w:val="1"/>
      <w:numFmt w:val="decimal"/>
      <w:pStyle w:val="Heading4"/>
      <w:lvlText w:val="%4)"/>
      <w:lvlJc w:val="left"/>
      <w:pPr>
        <w:tabs>
          <w:tab w:val="num" w:pos="3600"/>
        </w:tabs>
        <w:ind w:left="3600" w:hanging="720"/>
      </w:pPr>
      <w:rPr>
        <w:rFonts w:cs="Times New Roman" w:hint="default"/>
        <w:b w:val="0"/>
        <w:i w:val="0"/>
        <w:vanish w:val="0"/>
        <w:u w:val="none"/>
      </w:rPr>
    </w:lvl>
    <w:lvl w:ilvl="4">
      <w:start w:val="1"/>
      <w:numFmt w:val="lowerLetter"/>
      <w:pStyle w:val="Heading5"/>
      <w:lvlText w:val="%5)"/>
      <w:lvlJc w:val="left"/>
      <w:pPr>
        <w:tabs>
          <w:tab w:val="num" w:pos="4320"/>
        </w:tabs>
        <w:ind w:left="4320" w:hanging="720"/>
      </w:pPr>
      <w:rPr>
        <w:rFonts w:cs="Times New Roman" w:hint="default"/>
        <w:vanish w:val="0"/>
        <w:u w:val="none"/>
      </w:rPr>
    </w:lvl>
    <w:lvl w:ilvl="5">
      <w:start w:val="1"/>
      <w:numFmt w:val="lowerRoman"/>
      <w:lvlRestart w:val="0"/>
      <w:pStyle w:val="Heading6"/>
      <w:lvlText w:val="(%6)"/>
      <w:lvlJc w:val="left"/>
      <w:pPr>
        <w:tabs>
          <w:tab w:val="num" w:pos="5040"/>
        </w:tabs>
        <w:ind w:left="5040" w:hanging="720"/>
      </w:pPr>
      <w:rPr>
        <w:rFonts w:cs="Times New Roman" w:hint="default"/>
        <w:vanish w:val="0"/>
        <w:u w:val="none"/>
      </w:rPr>
    </w:lvl>
    <w:lvl w:ilvl="6">
      <w:start w:val="1"/>
      <w:numFmt w:val="bullet"/>
      <w:pStyle w:val="Heading7"/>
      <w:lvlText w:val=""/>
      <w:lvlJc w:val="left"/>
      <w:pPr>
        <w:tabs>
          <w:tab w:val="num" w:pos="2160"/>
        </w:tabs>
        <w:ind w:left="2160" w:hanging="720"/>
      </w:pPr>
      <w:rPr>
        <w:rFonts w:ascii="Symbol" w:hAnsi="Symbol" w:hint="default"/>
        <w:vanish w:val="0"/>
        <w:u w:val="none"/>
      </w:rPr>
    </w:lvl>
    <w:lvl w:ilvl="7">
      <w:start w:val="1"/>
      <w:numFmt w:val="upperLetter"/>
      <w:pStyle w:val="Heading8"/>
      <w:lvlText w:val="%8."/>
      <w:lvlJc w:val="left"/>
      <w:pPr>
        <w:tabs>
          <w:tab w:val="num" w:pos="2880"/>
        </w:tabs>
        <w:ind w:left="2880" w:hanging="720"/>
      </w:pPr>
      <w:rPr>
        <w:rFonts w:cs="Times New Roman" w:hint="default"/>
        <w:vanish w:val="0"/>
        <w:u w:val="none"/>
      </w:rPr>
    </w:lvl>
    <w:lvl w:ilvl="8">
      <w:start w:val="1"/>
      <w:numFmt w:val="upperLetter"/>
      <w:pStyle w:val="Heading9"/>
      <w:suff w:val="nothing"/>
      <w:lvlText w:val="Exhibit %9"/>
      <w:lvlJc w:val="left"/>
      <w:pPr>
        <w:ind w:left="0" w:firstLine="0"/>
      </w:pPr>
      <w:rPr>
        <w:rFonts w:cs="Times New Roman" w:hint="default"/>
        <w:vanish w:val="0"/>
        <w:u w:val="none"/>
      </w:rPr>
    </w:lvl>
  </w:abstractNum>
  <w:abstractNum w:abstractNumId="23"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9B4B37"/>
    <w:multiLevelType w:val="hybridMultilevel"/>
    <w:tmpl w:val="FA9C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C6810"/>
    <w:multiLevelType w:val="hybridMultilevel"/>
    <w:tmpl w:val="9E48C7F2"/>
    <w:lvl w:ilvl="0" w:tplc="0D1E7406">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1250100">
    <w:abstractNumId w:val="14"/>
  </w:num>
  <w:num w:numId="2" w16cid:durableId="1701856689">
    <w:abstractNumId w:val="14"/>
  </w:num>
  <w:num w:numId="3" w16cid:durableId="1818570326">
    <w:abstractNumId w:val="14"/>
  </w:num>
  <w:num w:numId="4" w16cid:durableId="1544829473">
    <w:abstractNumId w:val="14"/>
  </w:num>
  <w:num w:numId="5" w16cid:durableId="1616597315">
    <w:abstractNumId w:val="14"/>
  </w:num>
  <w:num w:numId="6" w16cid:durableId="2060396150">
    <w:abstractNumId w:val="14"/>
  </w:num>
  <w:num w:numId="7" w16cid:durableId="1551499313">
    <w:abstractNumId w:val="14"/>
  </w:num>
  <w:num w:numId="8" w16cid:durableId="1008100011">
    <w:abstractNumId w:val="14"/>
  </w:num>
  <w:num w:numId="9" w16cid:durableId="678434072">
    <w:abstractNumId w:val="14"/>
  </w:num>
  <w:num w:numId="10" w16cid:durableId="1854104635">
    <w:abstractNumId w:val="14"/>
  </w:num>
  <w:num w:numId="11" w16cid:durableId="493760951">
    <w:abstractNumId w:val="14"/>
  </w:num>
  <w:num w:numId="12" w16cid:durableId="2140344676">
    <w:abstractNumId w:val="14"/>
  </w:num>
  <w:num w:numId="13" w16cid:durableId="360906951">
    <w:abstractNumId w:val="14"/>
  </w:num>
  <w:num w:numId="14" w16cid:durableId="1719668156">
    <w:abstractNumId w:val="14"/>
  </w:num>
  <w:num w:numId="15" w16cid:durableId="672532353">
    <w:abstractNumId w:val="17"/>
  </w:num>
  <w:num w:numId="16" w16cid:durableId="1500999710">
    <w:abstractNumId w:val="10"/>
  </w:num>
  <w:num w:numId="17" w16cid:durableId="20211431">
    <w:abstractNumId w:val="14"/>
  </w:num>
  <w:num w:numId="18" w16cid:durableId="1134252200">
    <w:abstractNumId w:val="9"/>
  </w:num>
  <w:num w:numId="19" w16cid:durableId="1053699444">
    <w:abstractNumId w:val="7"/>
  </w:num>
  <w:num w:numId="20" w16cid:durableId="6906934">
    <w:abstractNumId w:val="6"/>
  </w:num>
  <w:num w:numId="21" w16cid:durableId="427510158">
    <w:abstractNumId w:val="5"/>
  </w:num>
  <w:num w:numId="22" w16cid:durableId="804737425">
    <w:abstractNumId w:val="4"/>
  </w:num>
  <w:num w:numId="23" w16cid:durableId="597257209">
    <w:abstractNumId w:val="8"/>
  </w:num>
  <w:num w:numId="24" w16cid:durableId="937520660">
    <w:abstractNumId w:val="3"/>
  </w:num>
  <w:num w:numId="25" w16cid:durableId="21981897">
    <w:abstractNumId w:val="2"/>
  </w:num>
  <w:num w:numId="26" w16cid:durableId="808788973">
    <w:abstractNumId w:val="1"/>
  </w:num>
  <w:num w:numId="27" w16cid:durableId="146433615">
    <w:abstractNumId w:val="0"/>
  </w:num>
  <w:num w:numId="28" w16cid:durableId="100105308">
    <w:abstractNumId w:val="11"/>
  </w:num>
  <w:num w:numId="29" w16cid:durableId="508329869">
    <w:abstractNumId w:val="20"/>
  </w:num>
  <w:num w:numId="30" w16cid:durableId="2108503386">
    <w:abstractNumId w:val="22"/>
  </w:num>
  <w:num w:numId="31" w16cid:durableId="1299384007">
    <w:abstractNumId w:val="19"/>
  </w:num>
  <w:num w:numId="32" w16cid:durableId="1774204069">
    <w:abstractNumId w:val="13"/>
  </w:num>
  <w:num w:numId="33" w16cid:durableId="1829010092">
    <w:abstractNumId w:val="16"/>
  </w:num>
  <w:num w:numId="34" w16cid:durableId="1763180741">
    <w:abstractNumId w:val="23"/>
  </w:num>
  <w:num w:numId="35" w16cid:durableId="661198949">
    <w:abstractNumId w:val="18"/>
  </w:num>
  <w:num w:numId="36" w16cid:durableId="179049010">
    <w:abstractNumId w:val="21"/>
  </w:num>
  <w:num w:numId="37" w16cid:durableId="139463672">
    <w:abstractNumId w:val="12"/>
  </w:num>
  <w:num w:numId="38" w16cid:durableId="942880782">
    <w:abstractNumId w:val="15"/>
  </w:num>
  <w:num w:numId="39" w16cid:durableId="234366701">
    <w:abstractNumId w:val="25"/>
  </w:num>
  <w:num w:numId="40" w16cid:durableId="11948059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A2"/>
    <w:rsid w:val="000762A2"/>
    <w:rsid w:val="00077BA2"/>
    <w:rsid w:val="00115EAF"/>
    <w:rsid w:val="00140A34"/>
    <w:rsid w:val="0017210B"/>
    <w:rsid w:val="00214144"/>
    <w:rsid w:val="00236AD8"/>
    <w:rsid w:val="00277FDF"/>
    <w:rsid w:val="002903A5"/>
    <w:rsid w:val="002C54B7"/>
    <w:rsid w:val="0032078A"/>
    <w:rsid w:val="00386043"/>
    <w:rsid w:val="003E325C"/>
    <w:rsid w:val="003F45F2"/>
    <w:rsid w:val="004241B9"/>
    <w:rsid w:val="004B7225"/>
    <w:rsid w:val="004D03E2"/>
    <w:rsid w:val="00540874"/>
    <w:rsid w:val="00570487"/>
    <w:rsid w:val="005D11BA"/>
    <w:rsid w:val="005D4842"/>
    <w:rsid w:val="005D6355"/>
    <w:rsid w:val="00603F02"/>
    <w:rsid w:val="00606640"/>
    <w:rsid w:val="006717E4"/>
    <w:rsid w:val="006B6285"/>
    <w:rsid w:val="006D154E"/>
    <w:rsid w:val="006D7048"/>
    <w:rsid w:val="007350FE"/>
    <w:rsid w:val="00746CAB"/>
    <w:rsid w:val="007670E6"/>
    <w:rsid w:val="00877EEF"/>
    <w:rsid w:val="008833DB"/>
    <w:rsid w:val="008943CA"/>
    <w:rsid w:val="008F7628"/>
    <w:rsid w:val="009A758F"/>
    <w:rsid w:val="009E2988"/>
    <w:rsid w:val="00B44E7E"/>
    <w:rsid w:val="00CE0C8A"/>
    <w:rsid w:val="00DD79B2"/>
    <w:rsid w:val="00EC23C6"/>
    <w:rsid w:val="00F01015"/>
    <w:rsid w:val="00F45975"/>
    <w:rsid w:val="00F97CFF"/>
    <w:rsid w:val="00FA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E29EB"/>
  <w15:docId w15:val="{FA33768C-3DC0-4AF5-A468-6F5B1C7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99"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9" w:semiHidden="1" w:unhideWhenUsed="1"/>
    <w:lsdException w:name="caption" w:uiPriority="35" w:semiHidden="1" w:unhideWhenUsed="1" w:qFormat="1"/>
    <w:lsdException w:name="table of figures" w:uiPriority="99" w:semiHidden="1" w:unhideWhenUsed="1"/>
    <w:lsdException w:name="envelope address" w:uiPriority="99" w:semiHidden="1" w:unhideWhenUsed="1"/>
    <w:lsdException w:name="envelope return" w:uiPriority="99" w:semiHidden="1" w:unhideWhenUsed="1"/>
    <w:lsdException w:name="footnote reference" w:uiPriority="99" w:semiHidden="1" w:unhideWhenUsed="1"/>
    <w:lsdException w:name="annotation reference" w:uiPriority="99" w:semiHidden="1" w:unhideWhenUsed="1"/>
    <w:lsdException w:name="line number" w:uiPriority="99" w:semiHidden="1" w:unhideWhenUsed="1"/>
    <w:lsdException w:name="page number" w:uiPriority="99" w:semiHidden="1" w:unhideWhenUsed="1"/>
    <w:lsdException w:name="endnote reference" w:uiPriority="99" w:semiHidden="1" w:unhideWhenUsed="1"/>
    <w:lsdException w:name="endnote text" w:uiPriority="99"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uiPriority="99" w:semiHidden="1" w:unhideWhenUsed="1"/>
    <w:lsdException w:name="List Bullet" w:uiPriority="99" w:semiHidden="1" w:unhideWhenUsed="1"/>
    <w:lsdException w:name="List Number" w:uiPriority="99"/>
    <w:lsdException w:name="List 2" w:uiPriority="99" w:semiHidden="1" w:unhideWhenUsed="1"/>
    <w:lsdException w:name="List 3" w:uiPriority="99" w:semiHidden="1" w:unhideWhenUsed="1"/>
    <w:lsdException w:name="List 4" w:uiPriority="99"/>
    <w:lsdException w:name="List 5" w:uiPriority="99"/>
    <w:lsdException w:name="List Bullet 2" w:uiPriority="99" w:semiHidden="1" w:unhideWhenUsed="1"/>
    <w:lsdException w:name="List Bullet 3" w:uiPriority="99" w:semiHidden="1" w:unhideWhenUsed="1"/>
    <w:lsdException w:name="List Bullet 4" w:uiPriority="99" w:semiHidden="1" w:unhideWhenUsed="1"/>
    <w:lsdException w:name="List Bullet 5" w:uiPriority="99" w:semiHidden="1" w:unhideWhenUsed="1"/>
    <w:lsdException w:name="List Number 2" w:uiPriority="99" w:semiHidden="1" w:unhideWhenUsed="1"/>
    <w:lsdException w:name="List Number 3" w:uiPriority="99" w:semiHidden="1" w:unhideWhenUsed="1"/>
    <w:lsdException w:name="List Number 4" w:uiPriority="99" w:semiHidden="1" w:unhideWhenUsed="1"/>
    <w:lsdException w:name="List Number 5" w:uiPriority="99" w:semiHidden="1" w:unhideWhenUsed="1"/>
    <w:lsdException w:name="Title" w:uiPriority="10" w:qFormat="1"/>
    <w:lsdException w:name="Closing" w:semiHidden="1" w:unhideWhenUsed="1"/>
    <w:lsdException w:name="Signature" w:uiPriority="99"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uiPriority="99" w:semiHidden="1" w:unhideWhenUsed="1"/>
    <w:lsdException w:name="List Continue 2" w:uiPriority="99" w:semiHidden="1" w:unhideWhenUsed="1"/>
    <w:lsdException w:name="List Continue 3" w:uiPriority="99" w:semiHidden="1" w:unhideWhenUsed="1"/>
    <w:lsdException w:name="List Continue 4" w:uiPriority="99" w:semiHidden="1" w:unhideWhenUsed="1"/>
    <w:lsdException w:name="List Continue 5" w:uiPriority="99"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uiPriority="99" w:semiHidden="1" w:unhideWhenUsed="1"/>
    <w:lsdException w:name="Body Text 2" w:uiPriority="99" w:semiHidden="1" w:unhideWhenUsed="1"/>
    <w:lsdException w:name="Body Text 3" w:uiPriority="99"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03E2"/>
    <w:pPr>
      <w:spacing w:after="240" w:line="360" w:lineRule="auto"/>
    </w:pPr>
    <w:rPr>
      <w:rFonts w:ascii="Arial" w:hAnsi="Arial"/>
    </w:rPr>
  </w:style>
  <w:style w:type="paragraph" w:styleId="Heading1">
    <w:name w:val="heading 1"/>
    <w:basedOn w:val="Heading"/>
    <w:next w:val="BodyText"/>
    <w:link w:val="Heading1Char"/>
    <w:uiPriority w:val="9"/>
    <w:qFormat/>
    <w:pPr>
      <w:keepNext w:val="0"/>
      <w:numPr>
        <w:numId w:val="30"/>
      </w:numPr>
      <w:spacing w:after="0"/>
      <w:outlineLvl w:val="0"/>
    </w:pPr>
    <w:rPr>
      <w:rFonts w:cs="Arial"/>
      <w:bCs/>
    </w:rPr>
  </w:style>
  <w:style w:type="paragraph" w:styleId="Heading2">
    <w:name w:val="heading 2"/>
    <w:basedOn w:val="Heading"/>
    <w:next w:val="BodyText"/>
    <w:link w:val="Heading2Char"/>
    <w:uiPriority w:val="9"/>
    <w:qFormat/>
    <w:pPr>
      <w:keepNext w:val="0"/>
      <w:numPr>
        <w:ilvl w:val="1"/>
        <w:numId w:val="30"/>
      </w:numPr>
      <w:spacing w:after="0"/>
      <w:outlineLvl w:val="1"/>
    </w:pPr>
    <w:rPr>
      <w:rFonts w:cs="Arial"/>
      <w:bCs/>
      <w:iCs/>
    </w:rPr>
  </w:style>
  <w:style w:type="paragraph" w:styleId="Heading3">
    <w:name w:val="heading 3"/>
    <w:basedOn w:val="Heading"/>
    <w:next w:val="BodyText"/>
    <w:link w:val="Heading3Char"/>
    <w:uiPriority w:val="9"/>
    <w:qFormat/>
    <w:pPr>
      <w:keepNext w:val="0"/>
      <w:numPr>
        <w:ilvl w:val="2"/>
        <w:numId w:val="30"/>
      </w:numPr>
      <w:spacing w:after="0"/>
      <w:outlineLvl w:val="2"/>
    </w:pPr>
    <w:rPr>
      <w:rFonts w:cs="Arial"/>
      <w:bCs/>
    </w:rPr>
  </w:style>
  <w:style w:type="paragraph" w:styleId="Heading4">
    <w:name w:val="heading 4"/>
    <w:basedOn w:val="Heading"/>
    <w:next w:val="BodyText"/>
    <w:link w:val="Heading4Char"/>
    <w:uiPriority w:val="9"/>
    <w:qFormat/>
    <w:pPr>
      <w:keepNext w:val="0"/>
      <w:numPr>
        <w:ilvl w:val="3"/>
        <w:numId w:val="30"/>
      </w:numPr>
      <w:spacing w:after="0"/>
      <w:outlineLvl w:val="3"/>
    </w:pPr>
    <w:rPr>
      <w:bCs/>
    </w:rPr>
  </w:style>
  <w:style w:type="paragraph" w:styleId="Heading5">
    <w:name w:val="heading 5"/>
    <w:basedOn w:val="Heading"/>
    <w:next w:val="BodyText"/>
    <w:link w:val="Heading5Char"/>
    <w:uiPriority w:val="9"/>
    <w:qFormat/>
    <w:pPr>
      <w:keepNext w:val="0"/>
      <w:numPr>
        <w:ilvl w:val="4"/>
        <w:numId w:val="30"/>
      </w:numPr>
      <w:spacing w:after="0"/>
      <w:outlineLvl w:val="4"/>
    </w:pPr>
    <w:rPr>
      <w:bCs/>
      <w:iCs/>
    </w:rPr>
  </w:style>
  <w:style w:type="paragraph" w:styleId="Heading6">
    <w:name w:val="heading 6"/>
    <w:basedOn w:val="Heading"/>
    <w:next w:val="BodyText"/>
    <w:link w:val="Heading6Char"/>
    <w:uiPriority w:val="9"/>
    <w:qFormat/>
    <w:pPr>
      <w:keepNext w:val="0"/>
      <w:numPr>
        <w:ilvl w:val="5"/>
        <w:numId w:val="30"/>
      </w:numPr>
      <w:spacing w:after="0"/>
      <w:outlineLvl w:val="5"/>
    </w:pPr>
    <w:rPr>
      <w:bCs/>
    </w:rPr>
  </w:style>
  <w:style w:type="paragraph" w:styleId="Heading7">
    <w:name w:val="heading 7"/>
    <w:basedOn w:val="Heading"/>
    <w:next w:val="BodyText"/>
    <w:link w:val="Heading7Char"/>
    <w:uiPriority w:val="9"/>
    <w:qFormat/>
    <w:pPr>
      <w:keepNext w:val="0"/>
      <w:numPr>
        <w:ilvl w:val="6"/>
        <w:numId w:val="30"/>
      </w:numPr>
      <w:spacing w:after="0"/>
      <w:outlineLvl w:val="6"/>
    </w:pPr>
  </w:style>
  <w:style w:type="paragraph" w:styleId="Heading8">
    <w:name w:val="heading 8"/>
    <w:basedOn w:val="Heading"/>
    <w:next w:val="BodyText"/>
    <w:link w:val="Heading8Char"/>
    <w:uiPriority w:val="9"/>
    <w:qFormat/>
    <w:pPr>
      <w:keepNext w:val="0"/>
      <w:numPr>
        <w:ilvl w:val="7"/>
        <w:numId w:val="30"/>
      </w:numPr>
      <w:spacing w:after="0"/>
      <w:outlineLvl w:val="7"/>
    </w:pPr>
    <w:rPr>
      <w:iCs/>
    </w:rPr>
  </w:style>
  <w:style w:type="paragraph" w:styleId="Heading9">
    <w:name w:val="heading 9"/>
    <w:basedOn w:val="Heading"/>
    <w:next w:val="BodyText"/>
    <w:link w:val="Heading9Char"/>
    <w:uiPriority w:val="9"/>
    <w:qFormat/>
    <w:pPr>
      <w:keepNext w:val="0"/>
      <w:numPr>
        <w:ilvl w:val="8"/>
        <w:numId w:val="30"/>
      </w:numPr>
      <w:spacing w:after="0"/>
      <w:jc w:val="center"/>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FA4197"/>
  </w:style>
  <w:style w:type="paragraph" w:styleId="TOC1">
    <w:name w:val="toc 1"/>
    <w:basedOn w:val="Normal"/>
    <w:autoRedefine/>
    <w:uiPriority w:val="39"/>
    <w:pPr>
      <w:tabs>
        <w:tab w:val="decimal" w:leader="dot" w:pos="9360"/>
      </w:tabs>
      <w:spacing w:before="240"/>
      <w:ind w:left="360" w:hanging="360"/>
    </w:pPr>
    <w:rPr>
      <w:b/>
    </w:rPr>
  </w:style>
  <w:style w:type="paragraph" w:styleId="Heading" w:customStyle="1">
    <w:name w:val="Heading"/>
    <w:basedOn w:val="Normal"/>
    <w:pPr>
      <w:keepNext/>
      <w:spacing w:before="240" w:after="60"/>
    </w:pPr>
    <w:rPr>
      <w:kern w:val="24"/>
      <w:szCs w:val="24"/>
    </w:rPr>
  </w:style>
  <w:style w:type="paragraph" w:styleId="TOC2">
    <w:name w:val="toc 2"/>
    <w:basedOn w:val="TOC1"/>
    <w:autoRedefine/>
    <w:uiPriority w:val="39"/>
    <w:pPr>
      <w:ind w:left="720" w:right="720"/>
    </w:pPr>
  </w:style>
  <w:style w:type="paragraph" w:styleId="TOC3">
    <w:name w:val="toc 3"/>
    <w:basedOn w:val="TOC2"/>
    <w:autoRedefine/>
    <w:uiPriority w:val="39"/>
    <w:pPr>
      <w:ind w:left="1080"/>
    </w:pPr>
  </w:style>
  <w:style w:type="paragraph" w:styleId="Header">
    <w:name w:val="header"/>
    <w:basedOn w:val="Normal"/>
    <w:link w:val="HeaderChar"/>
    <w:uiPriority w:val="99"/>
    <w:pPr>
      <w:tabs>
        <w:tab w:val="center" w:pos="6480"/>
        <w:tab w:val="right" w:pos="12960"/>
      </w:tabs>
    </w:pPr>
    <w:rPr>
      <w:noProof/>
    </w:rPr>
  </w:style>
  <w:style w:type="paragraph" w:styleId="Footer">
    <w:name w:val="footer"/>
    <w:basedOn w:val="Normal"/>
    <w:link w:val="FooterChar"/>
    <w:uiPriority w:val="99"/>
    <w:pPr>
      <w:tabs>
        <w:tab w:val="center" w:pos="6480"/>
        <w:tab w:val="right" w:pos="12960"/>
      </w:tabs>
    </w:pPr>
  </w:style>
  <w:style w:type="character" w:styleId="PageNumber">
    <w:name w:val="page number"/>
    <w:basedOn w:val="DefaultParagraphFont"/>
    <w:uiPriority w:val="99"/>
  </w:style>
  <w:style w:type="paragraph" w:styleId="Title">
    <w:name w:val="Title"/>
    <w:basedOn w:val="Normal"/>
    <w:link w:val="TitleChar"/>
    <w:uiPriority w:val="10"/>
    <w:qFormat/>
    <w:pPr>
      <w:spacing w:before="240"/>
      <w:jc w:val="center"/>
      <w:outlineLvl w:val="0"/>
    </w:pPr>
    <w:rPr>
      <w:b/>
    </w:rPr>
  </w:style>
  <w:style w:type="character" w:styleId="TitleChar" w:customStyle="1">
    <w:name w:val="Title Char"/>
    <w:basedOn w:val="DefaultParagraphFont"/>
    <w:link w:val="Title"/>
    <w:uiPriority w:val="10"/>
    <w:rPr>
      <w:b/>
      <w:sz w:val="24"/>
    </w:rPr>
  </w:style>
  <w:style w:type="character" w:styleId="FooterChar" w:customStyle="1">
    <w:name w:val="Footer Char"/>
    <w:basedOn w:val="DefaultParagraphFont"/>
    <w:link w:val="Footer"/>
    <w:uiPriority w:val="99"/>
    <w:rPr>
      <w:sz w:val="24"/>
    </w:rPr>
  </w:style>
  <w:style w:type="character" w:styleId="Hyperlink">
    <w:name w:val="Hyperlink"/>
    <w:basedOn w:val="DefaultParagraphFont"/>
    <w:uiPriority w:val="99"/>
    <w:rPr>
      <w:rFonts w:cs="Times New Roman"/>
      <w:color w:val="0000FF"/>
      <w:u w:val="single"/>
    </w:rPr>
  </w:style>
  <w:style w:type="paragraph" w:styleId="TitleTOC" w:customStyle="1">
    <w:name w:val="Title TOC"/>
    <w:basedOn w:val="Normal"/>
    <w:pPr>
      <w:jc w:val="center"/>
    </w:pPr>
    <w:rPr>
      <w:b/>
    </w:rPr>
  </w:style>
  <w:style w:type="paragraph" w:styleId="TitleTOCPage" w:customStyle="1">
    <w:name w:val="Title TOC Page"/>
    <w:basedOn w:val="Normal"/>
    <w:pPr>
      <w:jc w:val="right"/>
    </w:pPr>
    <w:rPr>
      <w:u w:val="single"/>
    </w:rPr>
  </w:style>
  <w:style w:type="character" w:styleId="Heading1Char" w:customStyle="1">
    <w:name w:val="Heading 1 Char"/>
    <w:basedOn w:val="DefaultParagraphFont"/>
    <w:link w:val="Heading1"/>
    <w:uiPriority w:val="9"/>
    <w:rPr>
      <w:rFonts w:cs="Arial"/>
      <w:bCs/>
      <w:kern w:val="24"/>
      <w:sz w:val="24"/>
      <w:szCs w:val="24"/>
    </w:rPr>
  </w:style>
  <w:style w:type="character" w:styleId="Heading2Char" w:customStyle="1">
    <w:name w:val="Heading 2 Char"/>
    <w:basedOn w:val="DefaultParagraphFont"/>
    <w:link w:val="Heading2"/>
    <w:uiPriority w:val="9"/>
    <w:rPr>
      <w:rFonts w:cs="Arial"/>
      <w:bCs/>
      <w:iCs/>
      <w:kern w:val="24"/>
      <w:sz w:val="24"/>
      <w:szCs w:val="24"/>
    </w:rPr>
  </w:style>
  <w:style w:type="character" w:styleId="Heading3Char" w:customStyle="1">
    <w:name w:val="Heading 3 Char"/>
    <w:basedOn w:val="DefaultParagraphFont"/>
    <w:link w:val="Heading3"/>
    <w:uiPriority w:val="9"/>
    <w:rPr>
      <w:rFonts w:cs="Arial"/>
      <w:bCs/>
      <w:kern w:val="24"/>
      <w:sz w:val="24"/>
      <w:szCs w:val="24"/>
    </w:rPr>
  </w:style>
  <w:style w:type="character" w:styleId="Heading4Char" w:customStyle="1">
    <w:name w:val="Heading 4 Char"/>
    <w:basedOn w:val="DefaultParagraphFont"/>
    <w:link w:val="Heading4"/>
    <w:uiPriority w:val="9"/>
    <w:rPr>
      <w:bCs/>
      <w:kern w:val="24"/>
      <w:sz w:val="24"/>
      <w:szCs w:val="24"/>
    </w:rPr>
  </w:style>
  <w:style w:type="character" w:styleId="Heading5Char" w:customStyle="1">
    <w:name w:val="Heading 5 Char"/>
    <w:basedOn w:val="DefaultParagraphFont"/>
    <w:link w:val="Heading5"/>
    <w:uiPriority w:val="9"/>
    <w:rPr>
      <w:bCs/>
      <w:iCs/>
      <w:kern w:val="24"/>
      <w:sz w:val="24"/>
      <w:szCs w:val="24"/>
    </w:rPr>
  </w:style>
  <w:style w:type="character" w:styleId="Heading6Char" w:customStyle="1">
    <w:name w:val="Heading 6 Char"/>
    <w:basedOn w:val="DefaultParagraphFont"/>
    <w:link w:val="Heading6"/>
    <w:uiPriority w:val="9"/>
    <w:rPr>
      <w:bCs/>
      <w:kern w:val="24"/>
      <w:sz w:val="24"/>
      <w:szCs w:val="24"/>
    </w:rPr>
  </w:style>
  <w:style w:type="character" w:styleId="Heading7Char" w:customStyle="1">
    <w:name w:val="Heading 7 Char"/>
    <w:basedOn w:val="DefaultParagraphFont"/>
    <w:link w:val="Heading7"/>
    <w:uiPriority w:val="9"/>
    <w:rPr>
      <w:kern w:val="24"/>
      <w:sz w:val="24"/>
      <w:szCs w:val="24"/>
    </w:rPr>
  </w:style>
  <w:style w:type="character" w:styleId="Heading8Char" w:customStyle="1">
    <w:name w:val="Heading 8 Char"/>
    <w:basedOn w:val="DefaultParagraphFont"/>
    <w:link w:val="Heading8"/>
    <w:uiPriority w:val="9"/>
    <w:rPr>
      <w:iCs/>
      <w:kern w:val="24"/>
      <w:sz w:val="24"/>
      <w:szCs w:val="24"/>
    </w:rPr>
  </w:style>
  <w:style w:type="character" w:styleId="Heading9Char" w:customStyle="1">
    <w:name w:val="Heading 9 Char"/>
    <w:basedOn w:val="DefaultParagraphFont"/>
    <w:link w:val="Heading9"/>
    <w:uiPriority w:val="9"/>
    <w:rPr>
      <w:rFonts w:cs="Arial"/>
      <w:kern w:val="24"/>
      <w:sz w:val="24"/>
      <w:szCs w:val="24"/>
    </w:rPr>
  </w:style>
  <w:style w:type="character" w:styleId="BodyTextChar" w:customStyle="1">
    <w:name w:val="Body Text Char"/>
    <w:basedOn w:val="DefaultParagraphFont"/>
    <w:link w:val="BodyText"/>
    <w:uiPriority w:val="99"/>
    <w:rsid w:val="00FA4197"/>
    <w:rPr>
      <w:rFonts w:ascii="Arial" w:hAnsi="Arial"/>
    </w:rPr>
  </w:style>
  <w:style w:type="paragraph" w:styleId="BodyText2">
    <w:name w:val="Body Text 2"/>
    <w:basedOn w:val="BodyText"/>
    <w:link w:val="BodyText2Char"/>
    <w:uiPriority w:val="99"/>
  </w:style>
  <w:style w:type="character" w:styleId="BodyText2Char" w:customStyle="1">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styleId="BodyText3Char" w:customStyle="1">
    <w:name w:val="Body Text 3 Char"/>
    <w:basedOn w:val="DefaultParagraphFont"/>
    <w:link w:val="BodyText3"/>
    <w:uiPriority w:val="99"/>
    <w:rPr>
      <w:sz w:val="24"/>
    </w:rPr>
  </w:style>
  <w:style w:type="paragraph" w:styleId="Caption">
    <w:name w:val="caption"/>
    <w:basedOn w:val="Normal"/>
    <w:next w:val="Normal"/>
    <w:uiPriority w:val="35"/>
    <w:qFormat/>
    <w:rPr>
      <w:b/>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style>
  <w:style w:type="character" w:styleId="CommentTextChar" w:customStyle="1">
    <w:name w:val="Comment Text Char"/>
    <w:basedOn w:val="DefaultParagraphFont"/>
    <w:link w:val="CommentText"/>
    <w:uiPriority w:val="99"/>
    <w:semiHidden/>
    <w:rPr>
      <w:sz w:val="24"/>
    </w:rPr>
  </w:style>
  <w:style w:type="paragraph" w:styleId="Date">
    <w:name w:val="Date"/>
    <w:basedOn w:val="Normal"/>
    <w:next w:val="Normal"/>
    <w:link w:val="DateChar"/>
    <w:uiPriority w:val="99"/>
  </w:style>
  <w:style w:type="character" w:styleId="DateChar" w:customStyle="1">
    <w:name w:val="Date Char"/>
    <w:basedOn w:val="DefaultParagraphFont"/>
    <w:link w:val="Date"/>
    <w:uiPriority w:val="99"/>
    <w:rPr>
      <w:sz w:val="24"/>
    </w:rPr>
  </w:style>
  <w:style w:type="paragraph" w:styleId="DocID" w:customStyle="1">
    <w:name w:val="DocID"/>
    <w:basedOn w:val="Footer"/>
    <w:next w:val="Footer"/>
    <w:link w:val="DocIDChar"/>
    <w:rsid w:val="00570487"/>
    <w:pPr>
      <w:tabs>
        <w:tab w:val="clear" w:pos="6480"/>
        <w:tab w:val="clear" w:pos="12960"/>
      </w:tabs>
      <w:spacing w:after="0" w:line="240" w:lineRule="auto"/>
    </w:pPr>
    <w:rPr>
      <w:rFonts w:cs="Arial"/>
      <w:sz w:val="16"/>
    </w:rPr>
  </w:style>
  <w:style w:type="paragraph" w:styleId="DocumentMap">
    <w:name w:val="Document Map"/>
    <w:basedOn w:val="Normal"/>
    <w:link w:val="DocumentMapChar"/>
    <w:uiPriority w:val="99"/>
    <w:semiHidden/>
    <w:rPr>
      <w:rFonts w:ascii="Tahoma" w:hAnsi="Tahoma"/>
    </w:rPr>
  </w:style>
  <w:style w:type="character" w:styleId="DocumentMapChar" w:customStyle="1">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pPr>
      <w:framePr w:w="7920" w:h="1980" w:hSpace="180" w:wrap="auto" w:hAnchor="page" w:xAlign="center" w:yAlign="bottom" w:hRule="exact"/>
      <w:ind w:left="2880"/>
    </w:pPr>
  </w:style>
  <w:style w:type="paragraph" w:styleId="EnvelopeReturn">
    <w:name w:val="envelope return"/>
    <w:basedOn w:val="Normal"/>
    <w:uiPriority w:val="99"/>
  </w:style>
  <w:style w:type="character" w:styleId="FollowedHyperlink">
    <w:name w:val="FollowedHyperlink"/>
    <w:basedOn w:val="DefaultParagraphFont"/>
    <w:uiPriority w:val="99"/>
    <w:rPr>
      <w:rFonts w:cs="Times New Roman"/>
      <w:color w:val="800080"/>
      <w:u w:val="single"/>
    </w:rPr>
  </w:style>
  <w:style w:type="paragraph" w:styleId="FooterLandscape" w:customStyle="1">
    <w:name w:val="Footer Landscape"/>
    <w:basedOn w:val="Normal"/>
    <w:pPr>
      <w:tabs>
        <w:tab w:val="center" w:pos="6480"/>
        <w:tab w:val="right" w:pos="12960"/>
      </w:tabs>
    </w:pPr>
  </w:style>
  <w:style w:type="character" w:styleId="FootnoteReference">
    <w:name w:val="footnote reference"/>
    <w:basedOn w:val="DefaultParagraphFont"/>
    <w:uiPriority w:val="99"/>
    <w:semiHidden/>
    <w:rPr>
      <w:rFonts w:cs="Times New Roman"/>
      <w:color w:val="auto"/>
      <w:position w:val="6"/>
      <w:sz w:val="18"/>
    </w:rPr>
  </w:style>
  <w:style w:type="paragraph" w:styleId="FootnoteText">
    <w:name w:val="footnote text"/>
    <w:basedOn w:val="Normal"/>
    <w:link w:val="FootnoteTextChar"/>
    <w:uiPriority w:val="99"/>
    <w:semiHidden/>
    <w:pPr>
      <w:ind w:left="360" w:hanging="360"/>
    </w:pPr>
    <w:rPr>
      <w:sz w:val="16"/>
    </w:rPr>
  </w:style>
  <w:style w:type="character" w:styleId="FootnoteTextChar" w:customStyle="1">
    <w:name w:val="Footnote Text Char"/>
    <w:basedOn w:val="DefaultParagraphFont"/>
    <w:link w:val="FootnoteText"/>
    <w:uiPriority w:val="99"/>
    <w:semiHidden/>
    <w:rPr>
      <w:sz w:val="16"/>
    </w:rPr>
  </w:style>
  <w:style w:type="character" w:styleId="HeaderChar" w:customStyle="1">
    <w:name w:val="Header Char"/>
    <w:basedOn w:val="DefaultParagraphFont"/>
    <w:link w:val="Header"/>
    <w:uiPriority w:val="99"/>
    <w:rPr>
      <w:noProof/>
      <w:sz w:val="24"/>
    </w:rPr>
  </w:style>
  <w:style w:type="paragraph" w:styleId="HeaderLandscape" w:customStyle="1">
    <w:name w:val="Header Landscape"/>
    <w:basedOn w:val="Normal"/>
    <w:pPr>
      <w:tabs>
        <w:tab w:val="center" w:pos="6480"/>
        <w:tab w:val="right" w:pos="12960"/>
      </w:tabs>
    </w:pPr>
  </w:style>
  <w:style w:type="paragraph" w:styleId="Index" w:customStyle="1">
    <w:name w:val="Index"/>
    <w:basedOn w:val="Normal"/>
  </w:style>
  <w:style w:type="paragraph" w:styleId="Index1">
    <w:name w:val="index 1"/>
    <w:basedOn w:val="Index"/>
    <w:next w:val="Normal"/>
    <w:autoRedefine/>
    <w:uiPriority w:val="99"/>
    <w:semiHidden/>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99"/>
    <w:semiHidden/>
  </w:style>
  <w:style w:type="character" w:styleId="LineNumber">
    <w:name w:val="line number"/>
    <w:basedOn w:val="DefaultParagraphFont"/>
    <w:uiPriority w:val="99"/>
    <w:rPr>
      <w:rFonts w:cs="Times New Roman"/>
    </w:rPr>
  </w:style>
  <w:style w:type="paragraph" w:styleId="List">
    <w:name w:val="List"/>
    <w:basedOn w:val="Normal"/>
    <w:uiPriority w:val="99"/>
  </w:style>
  <w:style w:type="paragraph" w:styleId="List1" w:customStyle="1">
    <w:name w:val="List 1"/>
    <w:basedOn w:val="List"/>
    <w:pPr>
      <w:ind w:left="720" w:hanging="720"/>
    </w:pPr>
  </w:style>
  <w:style w:type="paragraph" w:styleId="List1d" w:customStyle="1">
    <w:name w:val="List 1.d"/>
    <w:basedOn w:val="List1"/>
    <w:pPr>
      <w:tabs>
        <w:tab w:val="decimal" w:pos="1080"/>
      </w:tabs>
      <w:ind w:left="1440" w:hanging="1440"/>
    </w:pPr>
  </w:style>
  <w:style w:type="paragraph" w:styleId="List2">
    <w:name w:val="List 2"/>
    <w:basedOn w:val="List1"/>
    <w:uiPriority w:val="99"/>
    <w:pPr>
      <w:ind w:left="1440"/>
    </w:pPr>
  </w:style>
  <w:style w:type="paragraph" w:styleId="List2d" w:customStyle="1">
    <w:name w:val="List 2.d"/>
    <w:basedOn w:val="List2"/>
    <w:pPr>
      <w:tabs>
        <w:tab w:val="decimal" w:pos="1800"/>
      </w:tabs>
      <w:ind w:left="2160" w:hanging="1440"/>
    </w:pPr>
  </w:style>
  <w:style w:type="paragraph" w:styleId="List3">
    <w:name w:val="List 3"/>
    <w:basedOn w:val="List2"/>
    <w:uiPriority w:val="99"/>
    <w:pPr>
      <w:ind w:left="2160"/>
    </w:pPr>
  </w:style>
  <w:style w:type="paragraph" w:styleId="List3d" w:customStyle="1">
    <w:name w:val="List 3.d"/>
    <w:basedOn w:val="List3"/>
    <w:pPr>
      <w:tabs>
        <w:tab w:val="decimal" w:pos="2520"/>
      </w:tabs>
      <w:ind w:left="2880" w:hanging="1440"/>
    </w:pPr>
  </w:style>
  <w:style w:type="paragraph" w:styleId="List4">
    <w:name w:val="List 4"/>
    <w:basedOn w:val="List3"/>
    <w:uiPriority w:val="99"/>
    <w:pPr>
      <w:ind w:left="2880"/>
    </w:pPr>
  </w:style>
  <w:style w:type="paragraph" w:styleId="List4d" w:customStyle="1">
    <w:name w:val="List 4.d"/>
    <w:basedOn w:val="List4"/>
    <w:pPr>
      <w:tabs>
        <w:tab w:val="decimal" w:pos="3240"/>
      </w:tabs>
      <w:ind w:left="3600" w:hanging="1440"/>
    </w:pPr>
  </w:style>
  <w:style w:type="paragraph" w:styleId="List5">
    <w:name w:val="List 5"/>
    <w:basedOn w:val="List4"/>
    <w:uiPriority w:val="99"/>
    <w:pPr>
      <w:ind w:left="3600"/>
    </w:pPr>
  </w:style>
  <w:style w:type="paragraph" w:styleId="List5d" w:customStyle="1">
    <w:name w:val="List 5.d"/>
    <w:basedOn w:val="List5"/>
    <w:pPr>
      <w:tabs>
        <w:tab w:val="decimal" w:pos="3960"/>
      </w:tabs>
      <w:ind w:left="4320" w:hanging="1440"/>
    </w:pPr>
  </w:style>
  <w:style w:type="paragraph" w:styleId="ListBullet">
    <w:name w:val="List Bullet"/>
    <w:basedOn w:val="Normal"/>
    <w:autoRedefine/>
    <w:uiPriority w:val="99"/>
    <w:pPr>
      <w:numPr>
        <w:numId w:val="18"/>
      </w:numPr>
      <w:tabs>
        <w:tab w:val="clear" w:pos="360"/>
        <w:tab w:val="num" w:pos="1080"/>
      </w:tabs>
      <w:ind w:left="1080"/>
    </w:pPr>
  </w:style>
  <w:style w:type="paragraph" w:styleId="ListBullet1" w:customStyle="1">
    <w:name w:val="List Bullet 1"/>
    <w:basedOn w:val="Normal"/>
    <w:autoRedefine/>
    <w:pPr>
      <w:numPr>
        <w:numId w:val="28"/>
      </w:numPr>
      <w:tabs>
        <w:tab w:val="clear" w:pos="360"/>
        <w:tab w:val="num" w:pos="1440"/>
      </w:tabs>
      <w:ind w:left="1440"/>
    </w:pPr>
  </w:style>
  <w:style w:type="paragraph" w:styleId="ListBullet2">
    <w:name w:val="List Bullet 2"/>
    <w:basedOn w:val="Normal"/>
    <w:autoRedefine/>
    <w:uiPriority w:val="99"/>
    <w:pPr>
      <w:numPr>
        <w:numId w:val="19"/>
      </w:numPr>
      <w:tabs>
        <w:tab w:val="clear" w:pos="720"/>
        <w:tab w:val="num" w:pos="1800"/>
      </w:tabs>
      <w:ind w:left="1800"/>
    </w:pPr>
  </w:style>
  <w:style w:type="paragraph" w:styleId="ListBullet3">
    <w:name w:val="List Bullet 3"/>
    <w:basedOn w:val="Normal"/>
    <w:autoRedefine/>
    <w:uiPriority w:val="99"/>
    <w:pPr>
      <w:numPr>
        <w:numId w:val="20"/>
      </w:numPr>
      <w:tabs>
        <w:tab w:val="clear" w:pos="1080"/>
        <w:tab w:val="num" w:pos="1800"/>
      </w:tabs>
      <w:ind w:left="0" w:firstLine="0"/>
    </w:pPr>
  </w:style>
  <w:style w:type="paragraph" w:styleId="ListBullet4">
    <w:name w:val="List Bullet 4"/>
    <w:basedOn w:val="Normal"/>
    <w:autoRedefine/>
    <w:uiPriority w:val="99"/>
    <w:pPr>
      <w:numPr>
        <w:numId w:val="21"/>
      </w:numPr>
      <w:tabs>
        <w:tab w:val="clear" w:pos="1440"/>
        <w:tab w:val="num" w:pos="720"/>
      </w:tabs>
      <w:ind w:left="720" w:hanging="720"/>
    </w:pPr>
  </w:style>
  <w:style w:type="paragraph" w:styleId="ListBullet5">
    <w:name w:val="List Bullet 5"/>
    <w:basedOn w:val="Normal"/>
    <w:autoRedefine/>
    <w:uiPriority w:val="99"/>
    <w:pPr>
      <w:numPr>
        <w:numId w:val="22"/>
      </w:numPr>
      <w:tabs>
        <w:tab w:val="clear" w:pos="1800"/>
        <w:tab w:val="num" w:pos="720"/>
      </w:tabs>
      <w:ind w:left="720" w:hanging="720"/>
    </w:pPr>
  </w:style>
  <w:style w:type="paragraph" w:styleId="ListContinue">
    <w:name w:val="List Continue"/>
    <w:basedOn w:val="Normal"/>
    <w:uiPriority w:val="99"/>
    <w:pPr>
      <w:spacing w:before="240"/>
    </w:p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23"/>
      </w:numPr>
      <w:tabs>
        <w:tab w:val="clear" w:pos="360"/>
      </w:tabs>
      <w:ind w:left="0" w:firstLine="0"/>
    </w:pPr>
  </w:style>
  <w:style w:type="paragraph" w:styleId="ListNumber1" w:customStyle="1">
    <w:name w:val="List Number 1"/>
    <w:basedOn w:val="ListNumber"/>
    <w:pPr>
      <w:numPr>
        <w:numId w:val="29"/>
      </w:numPr>
    </w:pPr>
  </w:style>
  <w:style w:type="paragraph" w:styleId="ListNumber2">
    <w:name w:val="List Number 2"/>
    <w:basedOn w:val="ListNumber"/>
    <w:uiPriority w:val="99"/>
    <w:pPr>
      <w:numPr>
        <w:numId w:val="24"/>
      </w:numPr>
      <w:tabs>
        <w:tab w:val="clear" w:pos="720"/>
      </w:tabs>
      <w:ind w:left="0" w:firstLine="0"/>
    </w:pPr>
  </w:style>
  <w:style w:type="paragraph" w:styleId="ListNumber3">
    <w:name w:val="List Number 3"/>
    <w:basedOn w:val="ListNumber"/>
    <w:uiPriority w:val="99"/>
    <w:pPr>
      <w:numPr>
        <w:numId w:val="25"/>
      </w:numPr>
      <w:tabs>
        <w:tab w:val="clear" w:pos="1080"/>
        <w:tab w:val="num" w:pos="360"/>
      </w:tabs>
      <w:ind w:left="0" w:firstLine="0"/>
    </w:pPr>
  </w:style>
  <w:style w:type="paragraph" w:styleId="ListNumber4">
    <w:name w:val="List Number 4"/>
    <w:basedOn w:val="ListNumber"/>
    <w:uiPriority w:val="99"/>
    <w:pPr>
      <w:numPr>
        <w:numId w:val="26"/>
      </w:numPr>
      <w:tabs>
        <w:tab w:val="clear" w:pos="1440"/>
        <w:tab w:val="num" w:pos="360"/>
      </w:tabs>
      <w:ind w:left="0" w:firstLine="0"/>
    </w:pPr>
  </w:style>
  <w:style w:type="paragraph" w:styleId="ListNumber5">
    <w:name w:val="List Number 5"/>
    <w:basedOn w:val="ListNumber"/>
    <w:uiPriority w:val="99"/>
    <w:pPr>
      <w:numPr>
        <w:numId w:val="27"/>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MacroTextChar" w:customStyle="1">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NoteHeadingChar" w:customStyle="1">
    <w:name w:val="Note Heading Char"/>
    <w:basedOn w:val="DefaultParagraphFont"/>
    <w:link w:val="NoteHeading"/>
    <w:uiPriority w:val="99"/>
    <w:rPr>
      <w:sz w:val="24"/>
    </w:rPr>
  </w:style>
  <w:style w:type="character" w:styleId="ParaNum" w:customStyle="1">
    <w:name w:val="ParaNum"/>
    <w:basedOn w:val="DefaultParagraphFont"/>
    <w:rPr>
      <w:rFonts w:cs="Times New Roman"/>
    </w:rPr>
  </w:style>
  <w:style w:type="paragraph" w:styleId="PlainText">
    <w:name w:val="Plain Text"/>
    <w:basedOn w:val="Normal"/>
    <w:link w:val="PlainTextChar"/>
    <w:uiPriority w:val="99"/>
    <w:rPr>
      <w:rFonts w:ascii="Courier New" w:hAnsi="Courier New"/>
    </w:rPr>
  </w:style>
  <w:style w:type="character" w:styleId="PlainTextChar" w:customStyle="1">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pPr>
      <w:spacing w:before="240"/>
      <w:ind w:left="1440" w:right="1440"/>
    </w:pPr>
  </w:style>
  <w:style w:type="character" w:styleId="QuoteChar" w:customStyle="1">
    <w:name w:val="Quote Char"/>
    <w:basedOn w:val="DefaultParagraphFont"/>
    <w:link w:val="Quote"/>
    <w:uiPriority w:val="29"/>
    <w:rPr>
      <w:sz w:val="24"/>
    </w:rPr>
  </w:style>
  <w:style w:type="paragraph" w:styleId="QuoteDoubleSpace" w:customStyle="1">
    <w:name w:val="Quote DoubleSpace"/>
    <w:basedOn w:val="Quote"/>
    <w:next w:val="Normal"/>
    <w:pPr>
      <w:spacing w:line="480" w:lineRule="auto"/>
    </w:pPr>
  </w:style>
  <w:style w:type="paragraph" w:styleId="Signature">
    <w:name w:val="Signature"/>
    <w:basedOn w:val="Normal"/>
    <w:link w:val="SignatureChar"/>
    <w:uiPriority w:val="99"/>
    <w:pPr>
      <w:ind w:left="4320"/>
    </w:pPr>
  </w:style>
  <w:style w:type="character" w:styleId="SignatureChar" w:customStyle="1">
    <w:name w:val="Signature Char"/>
    <w:basedOn w:val="DefaultParagraphFont"/>
    <w:link w:val="Signature"/>
    <w:uiPriority w:val="99"/>
    <w:rPr>
      <w:sz w:val="24"/>
    </w:rPr>
  </w:style>
  <w:style w:type="character" w:styleId="Strong">
    <w:name w:val="Strong"/>
    <w:basedOn w:val="DefaultParagraphFont"/>
    <w:uiPriority w:val="22"/>
    <w:qFormat/>
    <w:rPr>
      <w:rFonts w:cs="Times New Roman"/>
      <w:b/>
    </w:rPr>
  </w:style>
  <w:style w:type="paragraph" w:styleId="Subtitle">
    <w:name w:val="Subtitle"/>
    <w:basedOn w:val="Normal"/>
    <w:link w:val="SubtitleChar"/>
    <w:uiPriority w:val="11"/>
    <w:qFormat/>
    <w:pPr>
      <w:spacing w:after="60"/>
      <w:jc w:val="center"/>
      <w:outlineLvl w:val="1"/>
    </w:pPr>
  </w:style>
  <w:style w:type="character" w:styleId="SubtitleChar" w:customStyle="1">
    <w:name w:val="Subtitle Char"/>
    <w:basedOn w:val="DefaultParagraphFont"/>
    <w:link w:val="Subtitle"/>
    <w:uiPriority w:val="11"/>
    <w:rPr>
      <w:sz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b/>
    </w:rPr>
  </w:style>
  <w:style w:type="paragraph" w:styleId="TOC4">
    <w:name w:val="toc 4"/>
    <w:basedOn w:val="TOC3"/>
    <w:next w:val="Normal"/>
    <w:autoRedefine/>
    <w:uiPriority w:val="39"/>
    <w:semiHidden/>
    <w:pPr>
      <w:ind w:left="1440"/>
    </w:pPr>
  </w:style>
  <w:style w:type="paragraph" w:styleId="TOC5">
    <w:name w:val="toc 5"/>
    <w:basedOn w:val="TOC4"/>
    <w:next w:val="Normal"/>
    <w:autoRedefine/>
    <w:uiPriority w:val="39"/>
    <w:semiHidden/>
    <w:pPr>
      <w:ind w:left="1800"/>
    </w:pPr>
  </w:style>
  <w:style w:type="paragraph" w:styleId="TOC6">
    <w:name w:val="toc 6"/>
    <w:basedOn w:val="TOC5"/>
    <w:next w:val="Normal"/>
    <w:autoRedefine/>
    <w:uiPriority w:val="39"/>
    <w:semiHidden/>
    <w:pPr>
      <w:ind w:left="2160"/>
    </w:pPr>
  </w:style>
  <w:style w:type="paragraph" w:styleId="TOC7">
    <w:name w:val="toc 7"/>
    <w:basedOn w:val="TOC6"/>
    <w:next w:val="Normal"/>
    <w:autoRedefine/>
    <w:uiPriority w:val="39"/>
    <w:semiHidden/>
    <w:pPr>
      <w:ind w:left="2520"/>
    </w:pPr>
  </w:style>
  <w:style w:type="paragraph" w:styleId="TOC8">
    <w:name w:val="toc 8"/>
    <w:basedOn w:val="TOC7"/>
    <w:next w:val="Normal"/>
    <w:autoRedefine/>
    <w:uiPriority w:val="39"/>
    <w:semiHidden/>
    <w:pPr>
      <w:ind w:left="2880"/>
    </w:pPr>
  </w:style>
  <w:style w:type="paragraph" w:styleId="TOC9">
    <w:name w:val="toc 9"/>
    <w:basedOn w:val="TOC8"/>
    <w:next w:val="Normal"/>
    <w:autoRedefine/>
    <w:uiPriority w:val="39"/>
    <w:semiHidden/>
    <w:pPr>
      <w:ind w:left="3240"/>
    </w:pPr>
  </w:style>
  <w:style w:type="paragraph" w:styleId="Heading1notoc" w:customStyle="1">
    <w:name w:val="Heading 1 (no toc)"/>
    <w:basedOn w:val="Heading1"/>
    <w:next w:val="BodyText"/>
    <w:pPr>
      <w:outlineLvl w:val="9"/>
    </w:pPr>
  </w:style>
  <w:style w:type="paragraph" w:styleId="Heading2notoc" w:customStyle="1">
    <w:name w:val="Heading 2 (no toc)"/>
    <w:basedOn w:val="Heading2"/>
    <w:next w:val="BodyText"/>
    <w:pPr>
      <w:outlineLvl w:val="9"/>
    </w:pPr>
  </w:style>
  <w:style w:type="paragraph" w:styleId="Heading3notoc" w:customStyle="1">
    <w:name w:val="Heading 3 (no toc)"/>
    <w:basedOn w:val="Heading3"/>
    <w:next w:val="BodyText"/>
    <w:pPr>
      <w:outlineLvl w:val="9"/>
    </w:p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
    <w:name w:val="Outline List 2"/>
    <w:basedOn w:val="NoList"/>
    <w:semiHidden/>
    <w:unhideWhenUsed/>
    <w:pPr>
      <w:numPr>
        <w:numId w:val="34"/>
      </w:numPr>
    </w:pPr>
  </w:style>
  <w:style w:type="numbering" w:styleId="1ai">
    <w:name w:val="Outline List 1"/>
    <w:basedOn w:val="NoList"/>
    <w:semiHidden/>
    <w:unhideWhenUsed/>
    <w:pPr>
      <w:numPr>
        <w:numId w:val="35"/>
      </w:numPr>
    </w:pPr>
  </w:style>
  <w:style w:type="numbering" w:styleId="ArticleSection">
    <w:name w:val="Outline List 3"/>
    <w:basedOn w:val="NoList"/>
    <w:semiHidden/>
    <w:unhideWhenUsed/>
    <w:pPr>
      <w:numPr>
        <w:numId w:val="36"/>
      </w:numPr>
    </w:pPr>
  </w:style>
  <w:style w:type="paragraph" w:styleId="BalloonText">
    <w:name w:val="Balloon Text"/>
    <w:basedOn w:val="Normal"/>
    <w:link w:val="BalloonTextChar"/>
    <w:semiHidden/>
    <w:unhideWhenUsed/>
    <w:rPr>
      <w:rFonts w:ascii="Segoe UI" w:hAnsi="Segoe UI" w:cs="Segoe UI"/>
      <w:sz w:val="18"/>
      <w:szCs w:val="18"/>
    </w:rPr>
  </w:style>
  <w:style w:type="character" w:styleId="BalloonTextChar" w:customStyle="1">
    <w:name w:val="Balloon Text Char"/>
    <w:basedOn w:val="DefaultParagraphFont"/>
    <w:link w:val="BalloonText"/>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asciiTheme="minorHAnsi" w:hAnsiTheme="minorHAnsi" w:eastAsiaTheme="minorEastAsia" w:cstheme="minorBidi"/>
      <w:i/>
      <w:iCs/>
      <w:color w:val="4F81BD" w:themeColor="accent1"/>
    </w:rPr>
  </w:style>
  <w:style w:type="paragraph" w:styleId="BodyTextFirstIndent">
    <w:name w:val="Body Text First Indent"/>
    <w:basedOn w:val="BodyText"/>
    <w:link w:val="BodyTextFirstIndentChar"/>
    <w:pPr>
      <w:ind w:firstLine="360"/>
    </w:pPr>
  </w:style>
  <w:style w:type="character" w:styleId="BodyTextChar1" w:customStyle="1">
    <w:name w:val="Body Text Char1"/>
    <w:basedOn w:val="DefaultParagraphFont"/>
    <w:uiPriority w:val="99"/>
    <w:rPr>
      <w:sz w:val="24"/>
    </w:rPr>
  </w:style>
  <w:style w:type="character" w:styleId="BodyTextFirstIndentChar" w:customStyle="1">
    <w:name w:val="Body Text First Indent Char"/>
    <w:basedOn w:val="BodyTextChar"/>
    <w:link w:val="BodyTextFirstIndent"/>
    <w:rPr>
      <w:rFonts w:ascii="Arial" w:hAnsi="Arial"/>
      <w:sz w:val="24"/>
    </w:rPr>
  </w:style>
  <w:style w:type="paragraph" w:styleId="BodyTextIndent">
    <w:name w:val="Body Text Indent"/>
    <w:basedOn w:val="Normal"/>
    <w:link w:val="BodyTextIndentChar"/>
    <w:semiHidden/>
    <w:unhideWhenUsed/>
    <w:pPr>
      <w:spacing w:after="120"/>
      <w:ind w:left="360"/>
    </w:pPr>
  </w:style>
  <w:style w:type="character" w:styleId="BodyTextIndentChar" w:customStyle="1">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styleId="BodyTextFirstIndent2Char" w:customStyle="1">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style>
  <w:style w:type="character" w:styleId="BodyTextIndent2Char" w:customStyle="1">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ind w:left="360"/>
    </w:pPr>
    <w:rPr>
      <w:sz w:val="16"/>
      <w:szCs w:val="16"/>
    </w:rPr>
  </w:style>
  <w:style w:type="character" w:styleId="BodyTextIndent3Char" w:customStyle="1">
    <w:name w:val="Body Text Indent 3 Char"/>
    <w:basedOn w:val="DefaultParagraphFont"/>
    <w:link w:val="BodyTextIndent3"/>
    <w:semiHidden/>
    <w:rPr>
      <w:sz w:val="16"/>
      <w:szCs w:val="16"/>
    </w:rPr>
  </w:style>
  <w:style w:type="character" w:styleId="BookTitle">
    <w:name w:val="Book Title"/>
    <w:basedOn w:val="DefaultParagraphFont"/>
    <w:uiPriority w:val="33"/>
    <w:qFormat/>
    <w:rPr>
      <w:b/>
      <w:bCs/>
      <w:i/>
      <w:iCs/>
      <w:spacing w:val="5"/>
    </w:rPr>
  </w:style>
  <w:style w:type="paragraph" w:styleId="Closing">
    <w:name w:val="Closing"/>
    <w:basedOn w:val="Normal"/>
    <w:link w:val="ClosingChar"/>
    <w:semiHidden/>
    <w:unhideWhenUsed/>
    <w:pPr>
      <w:ind w:left="4320"/>
    </w:pPr>
  </w:style>
  <w:style w:type="character" w:styleId="ClosingChar" w:customStyle="1">
    <w:name w:val="Closing Char"/>
    <w:basedOn w:val="DefaultParagraphFont"/>
    <w:link w:val="Closing"/>
    <w:semiHidden/>
    <w:rPr>
      <w:sz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styleId="CommentSubjectChar" w:customStyle="1">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style>
  <w:style w:type="character" w:styleId="E-mailSignatureChar" w:customStyle="1">
    <w:name w:val="E-mail Signature Char"/>
    <w:basedOn w:val="DefaultParagraphFont"/>
    <w:link w:val="E-mailSignature"/>
    <w:semiHidden/>
    <w:rPr>
      <w:sz w:val="24"/>
    </w:rPr>
  </w:style>
  <w:style w:type="table" w:styleId="GridTable1Light1" w:customStyle="1">
    <w:name w:val="Grid Table 1 Light1"/>
    <w:basedOn w:val="TableNormal"/>
    <w:uiPriority w:val="4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1" w:customStyle="1">
    <w:name w:val="Grid Table 1 Light - Accent 11"/>
    <w:basedOn w:val="TableNormal"/>
    <w:uiPriority w:val="46"/>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TableNormal"/>
    <w:uiPriority w:val="46"/>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1" w:customStyle="1">
    <w:name w:val="Grid Table 1 Light - Accent 31"/>
    <w:basedOn w:val="TableNormal"/>
    <w:uiPriority w:val="46"/>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1" w:customStyle="1">
    <w:name w:val="Grid Table 1 Light - Accent 41"/>
    <w:basedOn w:val="TableNormal"/>
    <w:uiPriority w:val="46"/>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1" w:customStyle="1">
    <w:name w:val="Grid Table 1 Light - Accent 51"/>
    <w:basedOn w:val="TableNormal"/>
    <w:uiPriority w:val="46"/>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1" w:customStyle="1">
    <w:name w:val="Grid Table 1 Light - Accent 61"/>
    <w:basedOn w:val="TableNormal"/>
    <w:uiPriority w:val="46"/>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1" w:customStyle="1">
    <w:name w:val="Grid Table 21"/>
    <w:basedOn w:val="TableNormal"/>
    <w:uiPriority w:val="4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1" w:customStyle="1">
    <w:name w:val="Grid Table 2 - Accent 11"/>
    <w:basedOn w:val="TableNormal"/>
    <w:uiPriority w:val="47"/>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1" w:customStyle="1">
    <w:name w:val="Grid Table 2 - Accent 21"/>
    <w:basedOn w:val="TableNormal"/>
    <w:uiPriority w:val="47"/>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1" w:customStyle="1">
    <w:name w:val="Grid Table 2 - Accent 31"/>
    <w:basedOn w:val="TableNormal"/>
    <w:uiPriority w:val="47"/>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1" w:customStyle="1">
    <w:name w:val="Grid Table 2 - Accent 41"/>
    <w:basedOn w:val="TableNormal"/>
    <w:uiPriority w:val="47"/>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1" w:customStyle="1">
    <w:name w:val="Grid Table 2 - Accent 51"/>
    <w:basedOn w:val="TableNormal"/>
    <w:uiPriority w:val="47"/>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1" w:customStyle="1">
    <w:name w:val="Grid Table 2 - Accent 61"/>
    <w:basedOn w:val="TableNormal"/>
    <w:uiPriority w:val="47"/>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1" w:customStyle="1">
    <w:name w:val="Grid Table 31"/>
    <w:basedOn w:val="TableNormal"/>
    <w:uiPriority w:val="4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1" w:customStyle="1">
    <w:name w:val="Grid Table 3 - Accent 11"/>
    <w:basedOn w:val="TableNormal"/>
    <w:uiPriority w:val="48"/>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1" w:customStyle="1">
    <w:name w:val="Grid Table 3 - Accent 21"/>
    <w:basedOn w:val="TableNormal"/>
    <w:uiPriority w:val="48"/>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1" w:customStyle="1">
    <w:name w:val="Grid Table 3 - Accent 31"/>
    <w:basedOn w:val="TableNormal"/>
    <w:uiPriority w:val="48"/>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1" w:customStyle="1">
    <w:name w:val="Grid Table 3 - Accent 41"/>
    <w:basedOn w:val="TableNormal"/>
    <w:uiPriority w:val="48"/>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1" w:customStyle="1">
    <w:name w:val="Grid Table 3 - Accent 51"/>
    <w:basedOn w:val="TableNormal"/>
    <w:uiPriority w:val="48"/>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1" w:customStyle="1">
    <w:name w:val="Grid Table 3 - Accent 61"/>
    <w:basedOn w:val="TableNormal"/>
    <w:uiPriority w:val="48"/>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1" w:customStyle="1">
    <w:name w:val="Grid Table 41"/>
    <w:basedOn w:val="TableNormal"/>
    <w:uiPriority w:val="49"/>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1" w:customStyle="1">
    <w:name w:val="Grid Table 4 - Accent 11"/>
    <w:basedOn w:val="TableNormal"/>
    <w:uiPriority w:val="49"/>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1" w:customStyle="1">
    <w:name w:val="Grid Table 4 - Accent 21"/>
    <w:basedOn w:val="TableNormal"/>
    <w:uiPriority w:val="49"/>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1" w:customStyle="1">
    <w:name w:val="Grid Table 4 - Accent 31"/>
    <w:basedOn w:val="TableNormal"/>
    <w:uiPriority w:val="49"/>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1" w:customStyle="1">
    <w:name w:val="Grid Table 4 - Accent 41"/>
    <w:basedOn w:val="TableNormal"/>
    <w:uiPriority w:val="49"/>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1" w:customStyle="1">
    <w:name w:val="Grid Table 4 - Accent 51"/>
    <w:basedOn w:val="TableNormal"/>
    <w:uiPriority w:val="49"/>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1" w:customStyle="1">
    <w:name w:val="Grid Table 4 - Accent 61"/>
    <w:basedOn w:val="TableNormal"/>
    <w:uiPriority w:val="49"/>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1" w:customStyle="1">
    <w:name w:val="Grid Table 5 Dark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1" w:customStyle="1">
    <w:name w:val="Grid Table 5 Dark - Accent 1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1" w:customStyle="1">
    <w:name w:val="Grid Table 5 Dark - Accent 2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1" w:customStyle="1">
    <w:name w:val="Grid Table 5 Dark - Accent 3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1" w:customStyle="1">
    <w:name w:val="Grid Table 5 Dark - Accent 4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1" w:customStyle="1">
    <w:name w:val="Grid Table 5 Dark - Accent 5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1" w:customStyle="1">
    <w:name w:val="Grid Table 5 Dark - Accent 6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1" w:customStyle="1">
    <w:name w:val="Grid Table 6 Colorful1"/>
    <w:basedOn w:val="TableNormal"/>
    <w:uiPriority w:val="51"/>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1" w:customStyle="1">
    <w:name w:val="Grid Table 6 Colorful - Accent 11"/>
    <w:basedOn w:val="TableNormal"/>
    <w:uiPriority w:val="51"/>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1" w:customStyle="1">
    <w:name w:val="Grid Table 6 Colorful - Accent 21"/>
    <w:basedOn w:val="TableNormal"/>
    <w:uiPriority w:val="51"/>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1" w:customStyle="1">
    <w:name w:val="Grid Table 6 Colorful - Accent 31"/>
    <w:basedOn w:val="TableNormal"/>
    <w:uiPriority w:val="51"/>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1" w:customStyle="1">
    <w:name w:val="Grid Table 6 Colorful - Accent 41"/>
    <w:basedOn w:val="TableNormal"/>
    <w:uiPriority w:val="51"/>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1" w:customStyle="1">
    <w:name w:val="Grid Table 6 Colorful - Accent 51"/>
    <w:basedOn w:val="TableNormal"/>
    <w:uiPriority w:val="51"/>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1" w:customStyle="1">
    <w:name w:val="Grid Table 6 Colorful - Accent 61"/>
    <w:basedOn w:val="TableNormal"/>
    <w:uiPriority w:val="51"/>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1" w:customStyle="1">
    <w:name w:val="Grid Table 7 Colorful1"/>
    <w:basedOn w:val="TableNormal"/>
    <w:uiPriority w:val="52"/>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1" w:customStyle="1">
    <w:name w:val="Grid Table 7 Colorful - Accent 11"/>
    <w:basedOn w:val="TableNormal"/>
    <w:uiPriority w:val="52"/>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1" w:customStyle="1">
    <w:name w:val="Grid Table 7 Colorful - Accent 21"/>
    <w:basedOn w:val="TableNormal"/>
    <w:uiPriority w:val="52"/>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1" w:customStyle="1">
    <w:name w:val="Grid Table 7 Colorful - Accent 31"/>
    <w:basedOn w:val="TableNormal"/>
    <w:uiPriority w:val="52"/>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1" w:customStyle="1">
    <w:name w:val="Grid Table 7 Colorful - Accent 41"/>
    <w:basedOn w:val="TableNormal"/>
    <w:uiPriority w:val="52"/>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1" w:customStyle="1">
    <w:name w:val="Grid Table 7 Colorful - Accent 51"/>
    <w:basedOn w:val="TableNormal"/>
    <w:uiPriority w:val="52"/>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1" w:customStyle="1">
    <w:name w:val="Grid Table 7 Colorful - Accent 61"/>
    <w:basedOn w:val="TableNormal"/>
    <w:uiPriority w:val="52"/>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styleId="HTMLAddressChar" w:customStyle="1">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rPr>
  </w:style>
  <w:style w:type="character" w:styleId="HTMLPreformattedChar" w:customStyle="1">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Pr>
      <w:i/>
      <w:iCs/>
      <w:color w:val="4F81BD" w:themeColor="accent1"/>
      <w:sz w:val="24"/>
    </w:rPr>
  </w:style>
  <w:style w:type="character" w:styleId="IntenseReference">
    <w:name w:val="Intense Reference"/>
    <w:basedOn w:val="DefaultParagraphFont"/>
    <w:uiPriority w:val="32"/>
    <w:qFormat/>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semiHidden/>
    <w:unhideWhenUsed/>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semiHidden/>
    <w:unhideWhenUsed/>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semiHidden/>
    <w:unhideWhenUsed/>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semiHidden/>
    <w:unhideWhenUsed/>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semiHidden/>
    <w:unhideWhenUsed/>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semiHidden/>
    <w:unhideWhenUse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semiHidden/>
    <w:unhideWhenUsed/>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semiHidden/>
    <w:unhideWhenUsed/>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semiHidden/>
    <w:unhideWhenUsed/>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semiHidden/>
    <w:unhideWhenUsed/>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semiHidden/>
    <w:unhideWhenUsed/>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pPr>
      <w:ind w:left="720"/>
      <w:contextualSpacing/>
    </w:pPr>
  </w:style>
  <w:style w:type="table" w:styleId="ListTable1Light1" w:customStyle="1">
    <w:name w:val="List Table 1 Light1"/>
    <w:basedOn w:val="TableNormal"/>
    <w:uiPriority w:val="4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1" w:customStyle="1">
    <w:name w:val="List Table 1 Light - Accent 11"/>
    <w:basedOn w:val="TableNormal"/>
    <w:uiPriority w:val="46"/>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1" w:customStyle="1">
    <w:name w:val="List Table 1 Light - Accent 21"/>
    <w:basedOn w:val="TableNormal"/>
    <w:uiPriority w:val="46"/>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1" w:customStyle="1">
    <w:name w:val="List Table 1 Light - Accent 31"/>
    <w:basedOn w:val="TableNormal"/>
    <w:uiPriority w:val="46"/>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1" w:customStyle="1">
    <w:name w:val="List Table 1 Light - Accent 41"/>
    <w:basedOn w:val="TableNormal"/>
    <w:uiPriority w:val="46"/>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1" w:customStyle="1">
    <w:name w:val="List Table 1 Light - Accent 51"/>
    <w:basedOn w:val="TableNormal"/>
    <w:uiPriority w:val="46"/>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1" w:customStyle="1">
    <w:name w:val="List Table 1 Light - Accent 61"/>
    <w:basedOn w:val="TableNormal"/>
    <w:uiPriority w:val="46"/>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1" w:customStyle="1">
    <w:name w:val="List Table 21"/>
    <w:basedOn w:val="TableNormal"/>
    <w:uiPriority w:val="4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1" w:customStyle="1">
    <w:name w:val="List Table 2 - Accent 11"/>
    <w:basedOn w:val="TableNormal"/>
    <w:uiPriority w:val="47"/>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1" w:customStyle="1">
    <w:name w:val="List Table 2 - Accent 21"/>
    <w:basedOn w:val="TableNormal"/>
    <w:uiPriority w:val="47"/>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1" w:customStyle="1">
    <w:name w:val="List Table 2 - Accent 31"/>
    <w:basedOn w:val="TableNormal"/>
    <w:uiPriority w:val="47"/>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1" w:customStyle="1">
    <w:name w:val="List Table 2 - Accent 41"/>
    <w:basedOn w:val="TableNormal"/>
    <w:uiPriority w:val="47"/>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1" w:customStyle="1">
    <w:name w:val="List Table 2 - Accent 51"/>
    <w:basedOn w:val="TableNormal"/>
    <w:uiPriority w:val="47"/>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1" w:customStyle="1">
    <w:name w:val="List Table 2 - Accent 61"/>
    <w:basedOn w:val="TableNormal"/>
    <w:uiPriority w:val="47"/>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1" w:customStyle="1">
    <w:name w:val="List Table 31"/>
    <w:basedOn w:val="TableNormal"/>
    <w:uiPriority w:val="48"/>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1" w:customStyle="1">
    <w:name w:val="List Table 3 - Accent 11"/>
    <w:basedOn w:val="TableNormal"/>
    <w:uiPriority w:val="48"/>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1" w:customStyle="1">
    <w:name w:val="List Table 3 - Accent 21"/>
    <w:basedOn w:val="TableNormal"/>
    <w:uiPriority w:val="48"/>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1" w:customStyle="1">
    <w:name w:val="List Table 3 - Accent 31"/>
    <w:basedOn w:val="TableNormal"/>
    <w:uiPriority w:val="48"/>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1" w:customStyle="1">
    <w:name w:val="List Table 3 - Accent 41"/>
    <w:basedOn w:val="TableNormal"/>
    <w:uiPriority w:val="48"/>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1" w:customStyle="1">
    <w:name w:val="List Table 3 - Accent 51"/>
    <w:basedOn w:val="TableNormal"/>
    <w:uiPriority w:val="48"/>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1" w:customStyle="1">
    <w:name w:val="List Table 3 - Accent 61"/>
    <w:basedOn w:val="TableNormal"/>
    <w:uiPriority w:val="48"/>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1" w:customStyle="1">
    <w:name w:val="List Table 41"/>
    <w:basedOn w:val="TableNormal"/>
    <w:uiPriority w:val="49"/>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1" w:customStyle="1">
    <w:name w:val="List Table 4 - Accent 11"/>
    <w:basedOn w:val="TableNormal"/>
    <w:uiPriority w:val="49"/>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1" w:customStyle="1">
    <w:name w:val="List Table 4 - Accent 21"/>
    <w:basedOn w:val="TableNormal"/>
    <w:uiPriority w:val="49"/>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1" w:customStyle="1">
    <w:name w:val="List Table 4 - Accent 31"/>
    <w:basedOn w:val="TableNormal"/>
    <w:uiPriority w:val="49"/>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1" w:customStyle="1">
    <w:name w:val="List Table 4 - Accent 41"/>
    <w:basedOn w:val="TableNormal"/>
    <w:uiPriority w:val="49"/>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1" w:customStyle="1">
    <w:name w:val="List Table 4 - Accent 51"/>
    <w:basedOn w:val="TableNormal"/>
    <w:uiPriority w:val="49"/>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1" w:customStyle="1">
    <w:name w:val="List Table 4 - Accent 61"/>
    <w:basedOn w:val="TableNormal"/>
    <w:uiPriority w:val="49"/>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1" w:customStyle="1">
    <w:name w:val="List Table 5 Dark1"/>
    <w:basedOn w:val="TableNormal"/>
    <w:uiPriority w:val="50"/>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1">
    <w:name w:val="List Table 5 Dark - Accent 11"/>
    <w:basedOn w:val="TableNormal"/>
    <w:uiPriority w:val="50"/>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1">
    <w:name w:val="List Table 5 Dark - Accent 21"/>
    <w:basedOn w:val="TableNormal"/>
    <w:uiPriority w:val="50"/>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1">
    <w:name w:val="List Table 5 Dark - Accent 31"/>
    <w:basedOn w:val="TableNormal"/>
    <w:uiPriority w:val="50"/>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1">
    <w:name w:val="List Table 5 Dark - Accent 41"/>
    <w:basedOn w:val="TableNormal"/>
    <w:uiPriority w:val="50"/>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1">
    <w:name w:val="List Table 5 Dark - Accent 51"/>
    <w:basedOn w:val="TableNormal"/>
    <w:uiPriority w:val="50"/>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1">
    <w:name w:val="List Table 5 Dark - Accent 61"/>
    <w:basedOn w:val="TableNormal"/>
    <w:uiPriority w:val="50"/>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1" w:customStyle="1">
    <w:name w:val="List Table 6 Colorful1"/>
    <w:basedOn w:val="TableNormal"/>
    <w:uiPriority w:val="51"/>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1" w:customStyle="1">
    <w:name w:val="List Table 6 Colorful - Accent 11"/>
    <w:basedOn w:val="TableNormal"/>
    <w:uiPriority w:val="51"/>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1" w:customStyle="1">
    <w:name w:val="List Table 6 Colorful - Accent 21"/>
    <w:basedOn w:val="TableNormal"/>
    <w:uiPriority w:val="51"/>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1" w:customStyle="1">
    <w:name w:val="List Table 6 Colorful - Accent 31"/>
    <w:basedOn w:val="TableNormal"/>
    <w:uiPriority w:val="51"/>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1" w:customStyle="1">
    <w:name w:val="List Table 6 Colorful - Accent 41"/>
    <w:basedOn w:val="TableNormal"/>
    <w:uiPriority w:val="51"/>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1" w:customStyle="1">
    <w:name w:val="List Table 6 Colorful - Accent 51"/>
    <w:basedOn w:val="TableNormal"/>
    <w:uiPriority w:val="51"/>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1" w:customStyle="1">
    <w:name w:val="List Table 6 Colorful - Accent 61"/>
    <w:basedOn w:val="TableNormal"/>
    <w:uiPriority w:val="51"/>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1" w:customStyle="1">
    <w:name w:val="List Table 7 Colorful1"/>
    <w:basedOn w:val="TableNormal"/>
    <w:uiPriority w:val="52"/>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1" w:customStyle="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1" w:customStyle="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1" w:customStyle="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1" w:customStyle="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1" w:customStyle="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1" w:customStyle="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semiHidden/>
    <w:unhideWhenUsed/>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semiHidden/>
    <w:rPr>
      <w:rFonts w:asciiTheme="majorHAnsi" w:hAnsiTheme="majorHAnsi" w:eastAsiaTheme="majorEastAsia" w:cstheme="majorBidi"/>
      <w:sz w:val="24"/>
      <w:szCs w:val="24"/>
      <w:shd w:val="pct20" w:color="auto" w:fill="auto"/>
    </w:rPr>
  </w:style>
  <w:style w:type="paragraph" w:styleId="NoSpacing">
    <w:name w:val="No Spacing"/>
    <w:uiPriority w:val="1"/>
    <w:qFormat/>
    <w:rPr>
      <w:sz w:val="24"/>
    </w:rPr>
  </w:style>
  <w:style w:type="paragraph" w:styleId="NormalWeb">
    <w:name w:val="Normal (Web)"/>
    <w:basedOn w:val="Normal"/>
    <w:semiHidden/>
    <w:unhideWhenUsed/>
    <w:rPr>
      <w:szCs w:val="24"/>
    </w:rPr>
  </w:style>
  <w:style w:type="character" w:styleId="PlaceholderText">
    <w:name w:val="Placeholder Text"/>
    <w:basedOn w:val="DefaultParagraphFont"/>
    <w:uiPriority w:val="99"/>
    <w:semiHidden/>
    <w:rPr>
      <w:color w:val="808080"/>
    </w:rPr>
  </w:style>
  <w:style w:type="table" w:styleId="PlainTable11" w:customStyle="1">
    <w:name w:val="Plain Table 11"/>
    <w:basedOn w:val="TableNormal"/>
    <w:uiPriority w:val="4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TableNormal"/>
    <w:uiPriority w:val="42"/>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1" w:customStyle="1">
    <w:name w:val="Plain Table 31"/>
    <w:basedOn w:val="TableNormal"/>
    <w:uiPriority w:val="4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1" w:customStyle="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TableNormal"/>
    <w:uiPriority w:val="45"/>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tyle>
  <w:style w:type="character" w:styleId="SalutationChar" w:customStyle="1">
    <w:name w:val="Salutation Char"/>
    <w:basedOn w:val="DefaultParagraphFont"/>
    <w:link w:val="Salutation"/>
    <w:rPr>
      <w:sz w:val="24"/>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unhideWhenUsed/>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unhideWhenUsed/>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unhideWhenUse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unhideWhenUsed/>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unhideWhenUse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unhideWhenUsed/>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unhideWhenUsed/>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unhideWhenUsed/>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unhideWhenUsed/>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unhideWhenUsed/>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unhideWhenUse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unhideWhenUsed/>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unhideWhenUse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unhideWhenUsed/>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unhideWhenUse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unhideWhenUsed/>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unhideWhenUse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unhideWhenUse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1" w:customStyle="1">
    <w:name w:val="Table Grid Light1"/>
    <w:basedOn w:val="TableNormal"/>
    <w:uiPriority w:val="4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semiHidden/>
    <w:unhideWhenUsed/>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unhideWhenUsed/>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unhideWhenUse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unhideWhenUsed/>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unhideWhenUsed/>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unhideWhenUsed/>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unhideWhenUsed/>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unhideWhenUsed/>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unhideWhenUse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unhideWhenUsed/>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unhideWhenUsed/>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unhideWhenUsed/>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unhideWhenUsed/>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unhideWhenUs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unhideWhenUsed/>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unhideWhenUsed/>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unhideWhenUsed/>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
    <w:name w:val="TOC Heading"/>
    <w:basedOn w:val="Heading1"/>
    <w:next w:val="Normal"/>
    <w:uiPriority w:val="39"/>
    <w:semiHidden/>
    <w:unhideWhenUsed/>
    <w:qFormat/>
    <w:pPr>
      <w:keepLines/>
      <w:ind w:left="0" w:firstLine="0"/>
      <w:outlineLvl w:val="9"/>
    </w:pPr>
    <w:rPr>
      <w:rFonts w:asciiTheme="majorHAnsi" w:hAnsiTheme="majorHAnsi" w:eastAsiaTheme="majorEastAsia" w:cstheme="majorBidi"/>
      <w:bCs w:val="0"/>
      <w:color w:val="365F91" w:themeColor="accent1" w:themeShade="BF"/>
      <w:kern w:val="0"/>
      <w:sz w:val="32"/>
      <w:szCs w:val="32"/>
    </w:rPr>
  </w:style>
  <w:style w:type="character" w:styleId="DocIDChar" w:customStyle="1">
    <w:name w:val="DocID Char"/>
    <w:basedOn w:val="BodyTextChar"/>
    <w:link w:val="DocID"/>
    <w:rsid w:val="00570487"/>
    <w:rPr>
      <w:rFonts w:ascii="Arial" w:hAnsi="Arial" w:cs="Arial"/>
      <w:sz w:val="16"/>
      <w:lang w:val="en-US" w:eastAsia="en-US"/>
    </w:rPr>
  </w:style>
  <w:style w:type="paragraph" w:styleId="Revision">
    <w:name w:val="Revision"/>
    <w:hidden/>
    <w:uiPriority w:val="99"/>
    <w:semiHidden/>
    <w:rsid w:val="00EC23C6"/>
    <w:rPr>
      <w:rFonts w:ascii="Arial" w:hAnsi="Arial"/>
    </w:rPr>
  </w:style>
  <w:style w:type="character" w:styleId="ListParagraphChar" w:customStyle="1">
    <w:name w:val="List Paragraph Char"/>
    <w:basedOn w:val="DefaultParagraphFont"/>
    <w:link w:val="ListParagraph"/>
    <w:uiPriority w:val="34"/>
    <w:rsid w:val="003860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Blank%20Landscape%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Blank Landscape (US)</ap:Template>
  <ap:Pages>5</ap:Pages>
  <ap:Words>1775</ap:Words>
  <ap:Characters>8971</ap:Characters>
  <ap:Application>Microsoft Office Word</ap:Application>
  <ap:Lines>74</ap:Lines>
  <ap:Paragraphs>21</ap:Paragraphs>
  <ap:CharactersWithSpaces>10725</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Winston, Sarah L.</dc:creator>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CUS_DocIDActiveBits">
    <vt:lpwstr>100352</vt:lpwstr>
  </op:property>
  <op:property fmtid="{D5CDD505-2E9C-101B-9397-08002B2CF9AE}" pid="4" name="CUS_DocIDLocation">
    <vt:lpwstr>NO_DOC_ID</vt:lpwstr>
  </op:property>
  <op:property fmtid="{D5CDD505-2E9C-101B-9397-08002B2CF9AE}" pid="5" name="CUS_DocIDReference">
    <vt:lpwstr>noDocID</vt:lpwstr>
  </op:property>
</op:Properties>
</file>