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8D47" w14:textId="77777777" w:rsidR="002278F0" w:rsidRDefault="002278F0" w:rsidP="002278F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olor w:val="17365D"/>
          <w:sz w:val="44"/>
          <w:szCs w:val="4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F30BF7" wp14:editId="091EF1DA">
            <wp:extent cx="24860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BD61" w14:textId="77777777" w:rsidR="002278F0" w:rsidRDefault="002278F0" w:rsidP="002278F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olor w:val="17365D"/>
          <w:sz w:val="44"/>
          <w:szCs w:val="44"/>
        </w:rPr>
      </w:pPr>
    </w:p>
    <w:p w14:paraId="1DD6EAE3" w14:textId="607D9659" w:rsidR="002278F0" w:rsidRDefault="002278F0" w:rsidP="002278F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olor w:val="17365D"/>
          <w:sz w:val="44"/>
          <w:szCs w:val="44"/>
        </w:rPr>
      </w:pPr>
      <w:r>
        <w:rPr>
          <w:rFonts w:ascii="Times New Roman" w:hAnsi="Times New Roman"/>
          <w:b/>
          <w:color w:val="17365D"/>
          <w:sz w:val="44"/>
          <w:szCs w:val="44"/>
        </w:rPr>
        <w:t>Surprise Billin</w:t>
      </w:r>
      <w:r w:rsidR="006419DA">
        <w:rPr>
          <w:rFonts w:ascii="Times New Roman" w:hAnsi="Times New Roman"/>
          <w:b/>
          <w:color w:val="17365D"/>
          <w:sz w:val="44"/>
          <w:szCs w:val="44"/>
        </w:rPr>
        <w:t xml:space="preserve">g Regs – </w:t>
      </w:r>
      <w:r w:rsidR="00C85C70">
        <w:rPr>
          <w:rFonts w:ascii="Times New Roman" w:hAnsi="Times New Roman"/>
          <w:b/>
          <w:color w:val="17365D"/>
          <w:sz w:val="44"/>
          <w:szCs w:val="44"/>
        </w:rPr>
        <w:t xml:space="preserve">Part 1: </w:t>
      </w:r>
      <w:r w:rsidR="006419DA">
        <w:rPr>
          <w:rFonts w:ascii="Times New Roman" w:hAnsi="Times New Roman"/>
          <w:b/>
          <w:color w:val="17365D"/>
          <w:sz w:val="44"/>
          <w:szCs w:val="44"/>
        </w:rPr>
        <w:t>QPA, Notice &amp; Consent</w:t>
      </w:r>
      <w:r w:rsidR="007C2093">
        <w:rPr>
          <w:rFonts w:ascii="Times New Roman" w:hAnsi="Times New Roman"/>
          <w:b/>
          <w:color w:val="17365D"/>
          <w:sz w:val="44"/>
          <w:szCs w:val="44"/>
        </w:rPr>
        <w:t>, Complaint Process</w:t>
      </w:r>
      <w:r w:rsidR="0046055A">
        <w:rPr>
          <w:rFonts w:ascii="Times New Roman" w:hAnsi="Times New Roman"/>
          <w:b/>
          <w:color w:val="17365D"/>
          <w:sz w:val="44"/>
          <w:szCs w:val="44"/>
        </w:rPr>
        <w:t>,</w:t>
      </w:r>
      <w:r w:rsidR="007C2093">
        <w:rPr>
          <w:rFonts w:ascii="Times New Roman" w:hAnsi="Times New Roman"/>
          <w:b/>
          <w:color w:val="17365D"/>
          <w:sz w:val="44"/>
          <w:szCs w:val="44"/>
        </w:rPr>
        <w:t xml:space="preserve"> Audits</w:t>
      </w:r>
      <w:r w:rsidR="0046055A">
        <w:rPr>
          <w:rFonts w:ascii="Times New Roman" w:hAnsi="Times New Roman"/>
          <w:b/>
          <w:color w:val="17365D"/>
          <w:sz w:val="44"/>
          <w:szCs w:val="44"/>
        </w:rPr>
        <w:t xml:space="preserve"> and Air Ambulances</w:t>
      </w:r>
    </w:p>
    <w:p w14:paraId="1AAA8F04" w14:textId="0E77FCF6" w:rsidR="002278F0" w:rsidRPr="008808B8" w:rsidRDefault="002278F0" w:rsidP="00227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2, 2021</w:t>
      </w:r>
    </w:p>
    <w:p w14:paraId="58216837" w14:textId="26CB27D2" w:rsidR="004437A5" w:rsidRDefault="002278F0" w:rsidP="002278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8F0">
        <w:rPr>
          <w:rFonts w:ascii="Times New Roman" w:hAnsi="Times New Roman" w:cs="Times New Roman"/>
          <w:sz w:val="24"/>
          <w:szCs w:val="24"/>
        </w:rPr>
        <w:t>The Administration released an</w:t>
      </w:r>
      <w:r w:rsidRPr="00227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6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227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nterim </w:t>
      </w:r>
      <w:r w:rsidR="00186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227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inal </w:t>
      </w:r>
      <w:r w:rsidR="00186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227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ule </w:t>
      </w:r>
      <w:r w:rsidR="005F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(IFR) </w:t>
      </w:r>
      <w:r w:rsidRPr="00227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with request for comments to implement </w:t>
      </w:r>
      <w:r w:rsidR="00880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</w:t>
      </w:r>
      <w:r w:rsidRPr="00227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 "No Surprises Act.</w:t>
      </w:r>
      <w:r w:rsidR="00473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227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6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</w:t>
      </w:r>
      <w:r w:rsidR="005F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186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IFR addresses </w:t>
      </w:r>
      <w:r w:rsidR="00B0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the patient’s cost-sharing obligations are determined</w:t>
      </w:r>
      <w:r w:rsidR="00F9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23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methodology for determining the qualifying payment amount, </w:t>
      </w:r>
      <w:r w:rsidR="00443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notice and consent requirement providers must adhere to</w:t>
      </w:r>
      <w:r w:rsidR="00460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A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process for consumers to file complaints against providers and health plans, how health plans will be audited, </w:t>
      </w:r>
      <w:r w:rsidR="00460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well as </w:t>
      </w:r>
      <w:r w:rsidR="008A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law’s </w:t>
      </w:r>
      <w:r w:rsidR="00A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application to air ambulances</w:t>
      </w:r>
      <w:r w:rsidR="00443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Additional regulations to address the </w:t>
      </w:r>
      <w:r w:rsidR="00A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independent dispute resolution</w:t>
      </w:r>
      <w:r w:rsidR="00443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process</w:t>
      </w:r>
      <w:r w:rsidR="00AB5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3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any remaining provisions of the law are </w:t>
      </w:r>
      <w:r w:rsidR="005F5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expected later </w:t>
      </w:r>
      <w:r w:rsidR="007C6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year</w:t>
      </w:r>
      <w:r w:rsidR="00443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07B21FA" w14:textId="34F32FDD" w:rsidR="002278F0" w:rsidRPr="002278F0" w:rsidRDefault="002278F0" w:rsidP="002278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regulations will take effect for health care providers and facilities </w:t>
      </w:r>
      <w:r w:rsidR="008A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 </w:t>
      </w:r>
      <w:r w:rsidRPr="00227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January 1, 2022. For group health plans, health insurance issuers, and </w:t>
      </w:r>
      <w:r w:rsidRPr="002278F0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Federal Employees Health Benefits Program</w:t>
      </w:r>
      <w:r w:rsidRPr="00227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carriers, the provisions will take effect for plan, policy, or contract years beginning on or after January 1, 2022.</w:t>
      </w:r>
    </w:p>
    <w:p w14:paraId="190E084B" w14:textId="09C8F24A" w:rsidR="002278F0" w:rsidRDefault="002278F0" w:rsidP="002278F0">
      <w:pPr>
        <w:rPr>
          <w:rFonts w:ascii="Times New Roman" w:hAnsi="Times New Roman" w:cs="Times New Roman"/>
          <w:sz w:val="24"/>
          <w:szCs w:val="24"/>
        </w:rPr>
      </w:pPr>
      <w:r w:rsidRPr="002278F0">
        <w:rPr>
          <w:rFonts w:ascii="Times New Roman" w:hAnsi="Times New Roman" w:cs="Times New Roman"/>
          <w:sz w:val="24"/>
          <w:szCs w:val="24"/>
        </w:rPr>
        <w:t xml:space="preserve">Click </w:t>
      </w:r>
      <w:hyperlink r:id="rId8" w:history="1">
        <w:r w:rsidRPr="002278F0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Pr="002278F0">
        <w:rPr>
          <w:rFonts w:ascii="Times New Roman" w:hAnsi="Times New Roman" w:cs="Times New Roman"/>
          <w:sz w:val="24"/>
          <w:szCs w:val="24"/>
        </w:rPr>
        <w:t xml:space="preserve"> for the Interim Final Rule</w:t>
      </w:r>
      <w:r>
        <w:rPr>
          <w:rFonts w:ascii="Times New Roman" w:hAnsi="Times New Roman" w:cs="Times New Roman"/>
          <w:sz w:val="24"/>
          <w:szCs w:val="24"/>
        </w:rPr>
        <w:t xml:space="preserve"> with comment period, </w:t>
      </w:r>
      <w:hyperlink r:id="rId9" w:history="1">
        <w:r w:rsidRPr="002278F0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0" w:history="1">
        <w:r w:rsidRPr="002278F0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the HHS fact sheets and </w:t>
      </w:r>
      <w:hyperlink r:id="rId11" w:history="1">
        <w:r w:rsidRPr="002278F0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the press release. The comment period is 60 days, </w:t>
      </w:r>
      <w:r w:rsidR="009B1FE6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C6CEB">
        <w:rPr>
          <w:rFonts w:ascii="Times New Roman" w:hAnsi="Times New Roman" w:cs="Times New Roman"/>
          <w:sz w:val="24"/>
          <w:szCs w:val="24"/>
        </w:rPr>
        <w:t xml:space="preserve"> date the</w:t>
      </w:r>
      <w:r>
        <w:rPr>
          <w:rFonts w:ascii="Times New Roman" w:hAnsi="Times New Roman" w:cs="Times New Roman"/>
          <w:sz w:val="24"/>
          <w:szCs w:val="24"/>
        </w:rPr>
        <w:t xml:space="preserve"> IFR is published in the Federal Register.</w:t>
      </w:r>
    </w:p>
    <w:p w14:paraId="76EC868F" w14:textId="4DAAE045" w:rsidR="002278F0" w:rsidRDefault="002278F0" w:rsidP="00227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Congress passed the </w:t>
      </w:r>
      <w:r w:rsidR="00473BF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No Surprises Act</w:t>
      </w:r>
      <w:r w:rsidR="00473B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as part of the Consolidated Appropriations Act of 2021 (P.L. 116-260) in December. C</w:t>
      </w:r>
      <w:r w:rsidRPr="00F373F7">
        <w:rPr>
          <w:rFonts w:ascii="Times New Roman" w:hAnsi="Times New Roman" w:cs="Times New Roman"/>
          <w:sz w:val="24"/>
          <w:szCs w:val="24"/>
        </w:rPr>
        <w:t xml:space="preserve">lick </w:t>
      </w:r>
      <w:hyperlink r:id="rId12" w:history="1">
        <w:r w:rsidRPr="00F373F7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the law; the No Surprises Act begins on page 1576. </w:t>
      </w:r>
    </w:p>
    <w:p w14:paraId="550A9EC5" w14:textId="3706173E" w:rsidR="00206375" w:rsidRDefault="00473BFB">
      <w:pPr>
        <w:rPr>
          <w:rFonts w:ascii="Times New Roman" w:hAnsi="Times New Roman" w:cs="Times New Roman"/>
          <w:sz w:val="24"/>
          <w:szCs w:val="24"/>
        </w:rPr>
      </w:pPr>
      <w:r w:rsidRPr="00473BFB">
        <w:rPr>
          <w:rFonts w:ascii="Times New Roman" w:hAnsi="Times New Roman" w:cs="Times New Roman"/>
          <w:sz w:val="24"/>
          <w:szCs w:val="24"/>
        </w:rPr>
        <w:t>We will continue to review the</w:t>
      </w:r>
      <w:r>
        <w:rPr>
          <w:rFonts w:ascii="Times New Roman" w:hAnsi="Times New Roman" w:cs="Times New Roman"/>
          <w:sz w:val="24"/>
          <w:szCs w:val="24"/>
        </w:rPr>
        <w:t xml:space="preserve"> IFR and provide additional information. This memo serves to </w:t>
      </w:r>
      <w:r w:rsidR="00206375">
        <w:rPr>
          <w:rFonts w:ascii="Times New Roman" w:hAnsi="Times New Roman" w:cs="Times New Roman"/>
          <w:sz w:val="24"/>
          <w:szCs w:val="24"/>
        </w:rPr>
        <w:t>direct you to some key provisions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6807C" w14:textId="72B37E52" w:rsidR="00A05460" w:rsidRPr="00EB30E7" w:rsidRDefault="00EB30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Highlights</w:t>
      </w:r>
    </w:p>
    <w:p w14:paraId="03796EEE" w14:textId="59384356" w:rsidR="00607562" w:rsidRDefault="00607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health plan covers emergency services, emergency services are to be </w:t>
      </w:r>
      <w:r w:rsidR="00707747">
        <w:rPr>
          <w:rFonts w:ascii="Times New Roman" w:hAnsi="Times New Roman" w:cs="Times New Roman"/>
          <w:sz w:val="24"/>
          <w:szCs w:val="24"/>
        </w:rPr>
        <w:t>covered</w:t>
      </w:r>
      <w:r>
        <w:rPr>
          <w:rFonts w:ascii="Times New Roman" w:hAnsi="Times New Roman" w:cs="Times New Roman"/>
          <w:sz w:val="24"/>
          <w:szCs w:val="24"/>
        </w:rPr>
        <w:t xml:space="preserve"> without prior authorization</w:t>
      </w:r>
      <w:r w:rsidR="00707747">
        <w:rPr>
          <w:rFonts w:ascii="Times New Roman" w:hAnsi="Times New Roman" w:cs="Times New Roman"/>
          <w:sz w:val="24"/>
          <w:szCs w:val="24"/>
        </w:rPr>
        <w:t xml:space="preserve"> and regardless of whether the provider </w:t>
      </w:r>
      <w:r w:rsidR="000C7D34">
        <w:rPr>
          <w:rFonts w:ascii="Times New Roman" w:hAnsi="Times New Roman" w:cs="Times New Roman"/>
          <w:sz w:val="24"/>
          <w:szCs w:val="24"/>
        </w:rPr>
        <w:t xml:space="preserve">or facility </w:t>
      </w:r>
      <w:r w:rsidR="00707747">
        <w:rPr>
          <w:rFonts w:ascii="Times New Roman" w:hAnsi="Times New Roman" w:cs="Times New Roman"/>
          <w:sz w:val="24"/>
          <w:szCs w:val="24"/>
        </w:rPr>
        <w:t>is in or out of network.</w:t>
      </w:r>
    </w:p>
    <w:p w14:paraId="727A50A3" w14:textId="2DFB3D85" w:rsidR="00DC781E" w:rsidRDefault="008B7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services include certain services in an ED, as well as post-stabilization services in certain instances</w:t>
      </w:r>
      <w:r w:rsidR="00DC781E">
        <w:rPr>
          <w:rFonts w:ascii="Times New Roman" w:hAnsi="Times New Roman" w:cs="Times New Roman"/>
          <w:sz w:val="24"/>
          <w:szCs w:val="24"/>
        </w:rPr>
        <w:t xml:space="preserve"> (</w:t>
      </w:r>
      <w:r w:rsidR="00AB5F21">
        <w:rPr>
          <w:rFonts w:ascii="Times New Roman" w:hAnsi="Times New Roman" w:cs="Times New Roman"/>
          <w:sz w:val="24"/>
          <w:szCs w:val="24"/>
        </w:rPr>
        <w:t xml:space="preserve">therefore </w:t>
      </w:r>
      <w:r w:rsidR="00DC781E">
        <w:rPr>
          <w:rFonts w:ascii="Times New Roman" w:hAnsi="Times New Roman" w:cs="Times New Roman"/>
          <w:sz w:val="24"/>
          <w:szCs w:val="24"/>
        </w:rPr>
        <w:t>balance billing protections apply)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08FD3" w14:textId="77777777" w:rsidR="00DC781E" w:rsidRDefault="00360A1F" w:rsidP="00DC78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781E">
        <w:rPr>
          <w:rFonts w:ascii="Times New Roman" w:hAnsi="Times New Roman" w:cs="Times New Roman"/>
          <w:sz w:val="24"/>
          <w:szCs w:val="24"/>
        </w:rPr>
        <w:t>Emergency services include pre-stabilization services that are provided after the patient is moved out of the ED and admitted to a hospital</w:t>
      </w:r>
      <w:r w:rsidR="00EA34C4" w:rsidRPr="00DC781E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="00EA34C4" w:rsidRPr="00DC781E">
        <w:rPr>
          <w:rFonts w:ascii="Times New Roman" w:hAnsi="Times New Roman" w:cs="Times New Roman"/>
          <w:sz w:val="24"/>
          <w:szCs w:val="24"/>
        </w:rPr>
        <w:t>page</w:t>
      </w:r>
      <w:proofErr w:type="gramEnd"/>
      <w:r w:rsidR="00EA34C4" w:rsidRPr="00DC781E">
        <w:rPr>
          <w:rFonts w:ascii="Times New Roman" w:hAnsi="Times New Roman" w:cs="Times New Roman"/>
          <w:sz w:val="24"/>
          <w:szCs w:val="24"/>
        </w:rPr>
        <w:t xml:space="preserve"> 28)</w:t>
      </w:r>
      <w:r w:rsidR="00B65FD6" w:rsidRPr="00DC78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384C2" w14:textId="69142038" w:rsidR="00B65FD6" w:rsidRDefault="00B65FD6" w:rsidP="00DC78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781E">
        <w:rPr>
          <w:rFonts w:ascii="Times New Roman" w:hAnsi="Times New Roman" w:cs="Times New Roman"/>
          <w:sz w:val="24"/>
          <w:szCs w:val="24"/>
        </w:rPr>
        <w:t xml:space="preserve">Post-stabilization services are included in emergency services </w:t>
      </w:r>
      <w:r w:rsidR="00885F90" w:rsidRPr="00DC781E">
        <w:rPr>
          <w:rFonts w:ascii="Times New Roman" w:hAnsi="Times New Roman" w:cs="Times New Roman"/>
          <w:sz w:val="24"/>
          <w:szCs w:val="24"/>
        </w:rPr>
        <w:t xml:space="preserve">(and balance billing protections apply) </w:t>
      </w:r>
      <w:r w:rsidRPr="00DC781E">
        <w:rPr>
          <w:rFonts w:ascii="Times New Roman" w:hAnsi="Times New Roman" w:cs="Times New Roman"/>
          <w:sz w:val="24"/>
          <w:szCs w:val="24"/>
        </w:rPr>
        <w:t>unless</w:t>
      </w:r>
      <w:r w:rsidR="00AF72C2" w:rsidRPr="00DC781E">
        <w:rPr>
          <w:rFonts w:ascii="Times New Roman" w:hAnsi="Times New Roman" w:cs="Times New Roman"/>
          <w:sz w:val="24"/>
          <w:szCs w:val="24"/>
        </w:rPr>
        <w:t xml:space="preserve"> the p</w:t>
      </w:r>
      <w:r w:rsidRPr="00DC781E">
        <w:rPr>
          <w:rFonts w:ascii="Times New Roman" w:hAnsi="Times New Roman" w:cs="Times New Roman"/>
          <w:sz w:val="24"/>
          <w:szCs w:val="24"/>
        </w:rPr>
        <w:t>rovider determines</w:t>
      </w:r>
      <w:r w:rsidR="00AF72C2" w:rsidRPr="00DC781E">
        <w:rPr>
          <w:rFonts w:ascii="Times New Roman" w:hAnsi="Times New Roman" w:cs="Times New Roman"/>
          <w:sz w:val="24"/>
          <w:szCs w:val="24"/>
        </w:rPr>
        <w:t xml:space="preserve"> the</w:t>
      </w:r>
      <w:r w:rsidRPr="00DC781E">
        <w:rPr>
          <w:rFonts w:ascii="Times New Roman" w:hAnsi="Times New Roman" w:cs="Times New Roman"/>
          <w:sz w:val="24"/>
          <w:szCs w:val="24"/>
        </w:rPr>
        <w:t xml:space="preserve"> patient </w:t>
      </w:r>
      <w:proofErr w:type="gramStart"/>
      <w:r w:rsidRPr="00DC781E">
        <w:rPr>
          <w:rFonts w:ascii="Times New Roman" w:hAnsi="Times New Roman" w:cs="Times New Roman"/>
          <w:sz w:val="24"/>
          <w:szCs w:val="24"/>
        </w:rPr>
        <w:t>is able to</w:t>
      </w:r>
      <w:proofErr w:type="gramEnd"/>
      <w:r w:rsidRPr="00DC781E">
        <w:rPr>
          <w:rFonts w:ascii="Times New Roman" w:hAnsi="Times New Roman" w:cs="Times New Roman"/>
          <w:sz w:val="24"/>
          <w:szCs w:val="24"/>
        </w:rPr>
        <w:t xml:space="preserve"> travel using non-medical transportation or nonemergency medical transportation</w:t>
      </w:r>
      <w:r w:rsidR="00AF72C2" w:rsidRPr="00DC781E">
        <w:rPr>
          <w:rFonts w:ascii="Times New Roman" w:hAnsi="Times New Roman" w:cs="Times New Roman"/>
          <w:sz w:val="24"/>
          <w:szCs w:val="24"/>
        </w:rPr>
        <w:t xml:space="preserve"> to a participating provider or facility located within a reasonable travel condition, taking into consideration the individual’s medical condition. </w:t>
      </w:r>
      <w:r w:rsidR="00511CD7" w:rsidRPr="00DC781E">
        <w:rPr>
          <w:rFonts w:ascii="Times New Roman" w:hAnsi="Times New Roman" w:cs="Times New Roman"/>
          <w:sz w:val="24"/>
          <w:szCs w:val="24"/>
        </w:rPr>
        <w:t xml:space="preserve">Providers are to assess </w:t>
      </w:r>
      <w:r w:rsidR="00E25B9A" w:rsidRPr="00DC781E">
        <w:rPr>
          <w:rFonts w:ascii="Times New Roman" w:hAnsi="Times New Roman" w:cs="Times New Roman"/>
          <w:sz w:val="24"/>
          <w:szCs w:val="24"/>
        </w:rPr>
        <w:t xml:space="preserve">and factor in </w:t>
      </w:r>
      <w:r w:rsidR="00AB5F21">
        <w:rPr>
          <w:rFonts w:ascii="Times New Roman" w:hAnsi="Times New Roman" w:cs="Times New Roman"/>
          <w:sz w:val="24"/>
          <w:szCs w:val="24"/>
        </w:rPr>
        <w:t>certain social risk factors, such as the patient’s ability to pay for the cost of travel</w:t>
      </w:r>
      <w:r w:rsidR="0026118A" w:rsidRPr="00DC781E">
        <w:rPr>
          <w:rFonts w:ascii="Times New Roman" w:hAnsi="Times New Roman" w:cs="Times New Roman"/>
          <w:sz w:val="24"/>
          <w:szCs w:val="24"/>
        </w:rPr>
        <w:t>. The Departments are asking for comment on how to define reasonable travel distance.</w:t>
      </w:r>
    </w:p>
    <w:p w14:paraId="16A6503B" w14:textId="1CDE7263" w:rsidR="00DC781E" w:rsidRDefault="001B1C2A" w:rsidP="00DC78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781E">
        <w:rPr>
          <w:rFonts w:ascii="Times New Roman" w:hAnsi="Times New Roman" w:cs="Times New Roman"/>
          <w:sz w:val="24"/>
          <w:szCs w:val="24"/>
        </w:rPr>
        <w:t>Provider</w:t>
      </w:r>
      <w:r w:rsidR="00DC781E" w:rsidRPr="00DC781E">
        <w:rPr>
          <w:rFonts w:ascii="Times New Roman" w:hAnsi="Times New Roman" w:cs="Times New Roman"/>
          <w:sz w:val="24"/>
          <w:szCs w:val="24"/>
        </w:rPr>
        <w:t>s</w:t>
      </w:r>
      <w:r w:rsidRPr="00DC781E">
        <w:rPr>
          <w:rFonts w:ascii="Times New Roman" w:hAnsi="Times New Roman" w:cs="Times New Roman"/>
          <w:sz w:val="24"/>
          <w:szCs w:val="24"/>
        </w:rPr>
        <w:t xml:space="preserve"> must then provide notice and consent and </w:t>
      </w:r>
      <w:r w:rsidR="00680535" w:rsidRPr="00DC781E">
        <w:rPr>
          <w:rFonts w:ascii="Times New Roman" w:hAnsi="Times New Roman" w:cs="Times New Roman"/>
          <w:sz w:val="24"/>
          <w:szCs w:val="24"/>
        </w:rPr>
        <w:t xml:space="preserve">the </w:t>
      </w:r>
      <w:r w:rsidRPr="00DC781E">
        <w:rPr>
          <w:rFonts w:ascii="Times New Roman" w:hAnsi="Times New Roman" w:cs="Times New Roman"/>
          <w:sz w:val="24"/>
          <w:szCs w:val="24"/>
        </w:rPr>
        <w:t>p</w:t>
      </w:r>
      <w:r w:rsidR="00AF10E6" w:rsidRPr="00DC781E">
        <w:rPr>
          <w:rFonts w:ascii="Times New Roman" w:hAnsi="Times New Roman" w:cs="Times New Roman"/>
          <w:sz w:val="24"/>
          <w:szCs w:val="24"/>
        </w:rPr>
        <w:t>atient</w:t>
      </w:r>
      <w:r w:rsidR="00680535" w:rsidRPr="00DC781E">
        <w:rPr>
          <w:rFonts w:ascii="Times New Roman" w:hAnsi="Times New Roman" w:cs="Times New Roman"/>
          <w:sz w:val="24"/>
          <w:szCs w:val="24"/>
        </w:rPr>
        <w:t xml:space="preserve"> (or his or her representative)</w:t>
      </w:r>
      <w:r w:rsidR="00AF10E6" w:rsidRPr="00DC781E">
        <w:rPr>
          <w:rFonts w:ascii="Times New Roman" w:hAnsi="Times New Roman" w:cs="Times New Roman"/>
          <w:sz w:val="24"/>
          <w:szCs w:val="24"/>
        </w:rPr>
        <w:t xml:space="preserve"> must be in a condition to receive</w:t>
      </w:r>
      <w:r w:rsidR="00680535" w:rsidRPr="00DC781E">
        <w:rPr>
          <w:rFonts w:ascii="Times New Roman" w:hAnsi="Times New Roman" w:cs="Times New Roman"/>
          <w:sz w:val="24"/>
          <w:szCs w:val="24"/>
        </w:rPr>
        <w:t xml:space="preserve"> notice and </w:t>
      </w:r>
      <w:r w:rsidR="00825057">
        <w:rPr>
          <w:rFonts w:ascii="Times New Roman" w:hAnsi="Times New Roman" w:cs="Times New Roman"/>
          <w:sz w:val="24"/>
          <w:szCs w:val="24"/>
        </w:rPr>
        <w:t>voluntarily give</w:t>
      </w:r>
      <w:r w:rsidR="00680535" w:rsidRPr="00DC781E">
        <w:rPr>
          <w:rFonts w:ascii="Times New Roman" w:hAnsi="Times New Roman" w:cs="Times New Roman"/>
          <w:sz w:val="24"/>
          <w:szCs w:val="24"/>
        </w:rPr>
        <w:t xml:space="preserve"> consent.</w:t>
      </w:r>
      <w:r w:rsidR="0016539B" w:rsidRPr="00DC7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E75D5" w14:textId="625A960F" w:rsidR="00AF10E6" w:rsidRPr="00DC781E" w:rsidRDefault="0016539B" w:rsidP="00DC78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781E">
        <w:rPr>
          <w:rFonts w:ascii="Times New Roman" w:hAnsi="Times New Roman" w:cs="Times New Roman"/>
          <w:sz w:val="24"/>
          <w:szCs w:val="24"/>
        </w:rPr>
        <w:t>Provider</w:t>
      </w:r>
      <w:r w:rsidR="00DC781E" w:rsidRPr="00DC781E">
        <w:rPr>
          <w:rFonts w:ascii="Times New Roman" w:hAnsi="Times New Roman" w:cs="Times New Roman"/>
          <w:sz w:val="24"/>
          <w:szCs w:val="24"/>
        </w:rPr>
        <w:t>s</w:t>
      </w:r>
      <w:r w:rsidRPr="00DC781E">
        <w:rPr>
          <w:rFonts w:ascii="Times New Roman" w:hAnsi="Times New Roman" w:cs="Times New Roman"/>
          <w:sz w:val="24"/>
          <w:szCs w:val="24"/>
        </w:rPr>
        <w:t xml:space="preserve"> must then comply with any applicable state law provisions.</w:t>
      </w:r>
      <w:r w:rsidR="008428D9" w:rsidRPr="00DC781E">
        <w:rPr>
          <w:rFonts w:ascii="Times New Roman" w:hAnsi="Times New Roman" w:cs="Times New Roman"/>
          <w:sz w:val="24"/>
          <w:szCs w:val="24"/>
        </w:rPr>
        <w:t xml:space="preserve"> (</w:t>
      </w:r>
      <w:r w:rsidR="00825057">
        <w:rPr>
          <w:rFonts w:ascii="Times New Roman" w:hAnsi="Times New Roman" w:cs="Times New Roman"/>
          <w:sz w:val="24"/>
          <w:szCs w:val="24"/>
        </w:rPr>
        <w:t xml:space="preserve">The discussion on </w:t>
      </w:r>
      <w:r w:rsidR="008428D9" w:rsidRPr="00DC781E">
        <w:rPr>
          <w:rFonts w:ascii="Times New Roman" w:hAnsi="Times New Roman" w:cs="Times New Roman"/>
          <w:sz w:val="24"/>
          <w:szCs w:val="24"/>
        </w:rPr>
        <w:t xml:space="preserve">pages </w:t>
      </w:r>
      <w:r w:rsidR="008A4BCE">
        <w:rPr>
          <w:rFonts w:ascii="Times New Roman" w:hAnsi="Times New Roman" w:cs="Times New Roman"/>
          <w:sz w:val="24"/>
          <w:szCs w:val="24"/>
        </w:rPr>
        <w:t>28</w:t>
      </w:r>
      <w:r w:rsidR="008428D9" w:rsidRPr="00DC781E">
        <w:rPr>
          <w:rFonts w:ascii="Times New Roman" w:hAnsi="Times New Roman" w:cs="Times New Roman"/>
          <w:sz w:val="24"/>
          <w:szCs w:val="24"/>
        </w:rPr>
        <w:t>-38</w:t>
      </w:r>
      <w:r w:rsidR="008A4BCE">
        <w:rPr>
          <w:rFonts w:ascii="Times New Roman" w:hAnsi="Times New Roman" w:cs="Times New Roman"/>
          <w:sz w:val="24"/>
          <w:szCs w:val="24"/>
        </w:rPr>
        <w:t xml:space="preserve"> is important to read</w:t>
      </w:r>
      <w:r w:rsidR="008428D9" w:rsidRPr="00DC781E">
        <w:rPr>
          <w:rFonts w:ascii="Times New Roman" w:hAnsi="Times New Roman" w:cs="Times New Roman"/>
          <w:sz w:val="24"/>
          <w:szCs w:val="24"/>
        </w:rPr>
        <w:t>)</w:t>
      </w:r>
      <w:r w:rsidR="00DC781E" w:rsidRPr="00DC7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04626" w14:textId="2208F80D" w:rsidR="008B7719" w:rsidRDefault="00C5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715AC">
        <w:rPr>
          <w:rFonts w:ascii="Times New Roman" w:hAnsi="Times New Roman" w:cs="Times New Roman"/>
          <w:sz w:val="24"/>
          <w:szCs w:val="24"/>
        </w:rPr>
        <w:t xml:space="preserve">atient </w:t>
      </w:r>
      <w:r w:rsidR="008B7719">
        <w:rPr>
          <w:rFonts w:ascii="Times New Roman" w:hAnsi="Times New Roman" w:cs="Times New Roman"/>
          <w:sz w:val="24"/>
          <w:szCs w:val="24"/>
        </w:rPr>
        <w:t xml:space="preserve">cost sharing for out-of-network services subject to the rule </w:t>
      </w:r>
      <w:r>
        <w:rPr>
          <w:rFonts w:ascii="Times New Roman" w:hAnsi="Times New Roman" w:cs="Times New Roman"/>
          <w:sz w:val="24"/>
          <w:szCs w:val="24"/>
        </w:rPr>
        <w:t>is limited to</w:t>
      </w:r>
      <w:r w:rsidR="008B7719">
        <w:rPr>
          <w:rFonts w:ascii="Times New Roman" w:hAnsi="Times New Roman" w:cs="Times New Roman"/>
          <w:sz w:val="24"/>
          <w:szCs w:val="24"/>
        </w:rPr>
        <w:t xml:space="preserve"> no higher than in-network levels</w:t>
      </w:r>
      <w:r w:rsidR="008715AC">
        <w:rPr>
          <w:rFonts w:ascii="Times New Roman" w:hAnsi="Times New Roman" w:cs="Times New Roman"/>
          <w:sz w:val="24"/>
          <w:szCs w:val="24"/>
        </w:rPr>
        <w:t>. Cost sharing amounts</w:t>
      </w:r>
      <w:r w:rsidR="00D24934">
        <w:rPr>
          <w:rFonts w:ascii="Times New Roman" w:hAnsi="Times New Roman" w:cs="Times New Roman"/>
          <w:sz w:val="24"/>
          <w:szCs w:val="24"/>
        </w:rPr>
        <w:t xml:space="preserve"> are calculated based on</w:t>
      </w:r>
    </w:p>
    <w:p w14:paraId="17FF9F67" w14:textId="77777777" w:rsidR="00C50A6C" w:rsidRDefault="00D24934" w:rsidP="00C50A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All-payer model agreement if applicable</w:t>
      </w:r>
    </w:p>
    <w:p w14:paraId="1E82E428" w14:textId="77777777" w:rsidR="005E4FA5" w:rsidRDefault="00D24934" w:rsidP="00C50A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 xml:space="preserve">Amount determined under state law if </w:t>
      </w:r>
      <w:proofErr w:type="gramStart"/>
      <w:r w:rsidRPr="00C50A6C">
        <w:rPr>
          <w:rFonts w:ascii="Times New Roman" w:hAnsi="Times New Roman" w:cs="Times New Roman"/>
          <w:sz w:val="24"/>
          <w:szCs w:val="24"/>
        </w:rPr>
        <w:t>applicable</w:t>
      </w:r>
      <w:proofErr w:type="gramEnd"/>
    </w:p>
    <w:p w14:paraId="248AC7D6" w14:textId="77777777" w:rsidR="005E4FA5" w:rsidRDefault="00D24934" w:rsidP="005E4F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 xml:space="preserve">If neither of the above apply, the lesser amount of either the billed charge or the QPA, which is generally the plan’s median contracted </w:t>
      </w:r>
      <w:proofErr w:type="gramStart"/>
      <w:r w:rsidRPr="00C50A6C">
        <w:rPr>
          <w:rFonts w:ascii="Times New Roman" w:hAnsi="Times New Roman" w:cs="Times New Roman"/>
          <w:sz w:val="24"/>
          <w:szCs w:val="24"/>
        </w:rPr>
        <w:t>rate</w:t>
      </w:r>
      <w:proofErr w:type="gramEnd"/>
    </w:p>
    <w:p w14:paraId="0644AB0E" w14:textId="55911568" w:rsidR="00D24934" w:rsidRPr="005E4FA5" w:rsidRDefault="005E4FA5" w:rsidP="005E4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</w:t>
      </w:r>
      <w:r w:rsidR="00D24934" w:rsidRPr="005E4FA5">
        <w:rPr>
          <w:rFonts w:ascii="Times New Roman" w:hAnsi="Times New Roman" w:cs="Times New Roman"/>
          <w:sz w:val="24"/>
          <w:szCs w:val="24"/>
        </w:rPr>
        <w:t xml:space="preserve">ut of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24934" w:rsidRPr="005E4FA5">
        <w:rPr>
          <w:rFonts w:ascii="Times New Roman" w:hAnsi="Times New Roman" w:cs="Times New Roman"/>
          <w:sz w:val="24"/>
          <w:szCs w:val="24"/>
        </w:rPr>
        <w:t xml:space="preserve">etwork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24934" w:rsidRPr="005E4FA5">
        <w:rPr>
          <w:rFonts w:ascii="Times New Roman" w:hAnsi="Times New Roman" w:cs="Times New Roman"/>
          <w:sz w:val="24"/>
          <w:szCs w:val="24"/>
        </w:rPr>
        <w:t xml:space="preserve">ate to be paid to provider or facility is based </w:t>
      </w:r>
      <w:proofErr w:type="gramStart"/>
      <w:r w:rsidR="00D24934" w:rsidRPr="005E4FA5">
        <w:rPr>
          <w:rFonts w:ascii="Times New Roman" w:hAnsi="Times New Roman" w:cs="Times New Roman"/>
          <w:sz w:val="24"/>
          <w:szCs w:val="24"/>
        </w:rPr>
        <w:t>on</w:t>
      </w:r>
      <w:proofErr w:type="gramEnd"/>
    </w:p>
    <w:p w14:paraId="7D84B2CB" w14:textId="7D7F99C5" w:rsidR="00EB30E7" w:rsidRPr="005E4FA5" w:rsidRDefault="00EB30E7" w:rsidP="005E4F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4FA5">
        <w:rPr>
          <w:rFonts w:ascii="Times New Roman" w:hAnsi="Times New Roman" w:cs="Times New Roman"/>
          <w:sz w:val="24"/>
          <w:szCs w:val="24"/>
        </w:rPr>
        <w:t>All-payer model agreement if applicable</w:t>
      </w:r>
    </w:p>
    <w:p w14:paraId="233B09E9" w14:textId="483BA779" w:rsidR="00EB30E7" w:rsidRPr="005E4FA5" w:rsidRDefault="00EB30E7" w:rsidP="005E4F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4FA5">
        <w:rPr>
          <w:rFonts w:ascii="Times New Roman" w:hAnsi="Times New Roman" w:cs="Times New Roman"/>
          <w:sz w:val="24"/>
          <w:szCs w:val="24"/>
        </w:rPr>
        <w:t>Amount determine</w:t>
      </w:r>
      <w:r w:rsidR="008A4BCE">
        <w:rPr>
          <w:rFonts w:ascii="Times New Roman" w:hAnsi="Times New Roman" w:cs="Times New Roman"/>
          <w:sz w:val="24"/>
          <w:szCs w:val="24"/>
        </w:rPr>
        <w:t>d</w:t>
      </w:r>
      <w:r w:rsidRPr="005E4FA5">
        <w:rPr>
          <w:rFonts w:ascii="Times New Roman" w:hAnsi="Times New Roman" w:cs="Times New Roman"/>
          <w:sz w:val="24"/>
          <w:szCs w:val="24"/>
        </w:rPr>
        <w:t xml:space="preserve"> under state law if </w:t>
      </w:r>
      <w:proofErr w:type="gramStart"/>
      <w:r w:rsidRPr="005E4FA5">
        <w:rPr>
          <w:rFonts w:ascii="Times New Roman" w:hAnsi="Times New Roman" w:cs="Times New Roman"/>
          <w:sz w:val="24"/>
          <w:szCs w:val="24"/>
        </w:rPr>
        <w:t>applicable</w:t>
      </w:r>
      <w:proofErr w:type="gramEnd"/>
    </w:p>
    <w:p w14:paraId="4A24CF0C" w14:textId="2756B233" w:rsidR="00D24934" w:rsidRPr="005E4FA5" w:rsidRDefault="00D24934" w:rsidP="005E4F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4FA5">
        <w:rPr>
          <w:rFonts w:ascii="Times New Roman" w:hAnsi="Times New Roman" w:cs="Times New Roman"/>
          <w:sz w:val="24"/>
          <w:szCs w:val="24"/>
        </w:rPr>
        <w:t xml:space="preserve">Amount agreed upon by plan or issuer and provider or </w:t>
      </w:r>
      <w:proofErr w:type="gramStart"/>
      <w:r w:rsidRPr="005E4FA5">
        <w:rPr>
          <w:rFonts w:ascii="Times New Roman" w:hAnsi="Times New Roman" w:cs="Times New Roman"/>
          <w:sz w:val="24"/>
          <w:szCs w:val="24"/>
        </w:rPr>
        <w:t>facility</w:t>
      </w:r>
      <w:proofErr w:type="gramEnd"/>
    </w:p>
    <w:p w14:paraId="4F3A19D9" w14:textId="1085C889" w:rsidR="00D24934" w:rsidRPr="000F1114" w:rsidRDefault="00EB30E7" w:rsidP="000F11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4FA5">
        <w:rPr>
          <w:rFonts w:ascii="Times New Roman" w:hAnsi="Times New Roman" w:cs="Times New Roman"/>
          <w:sz w:val="24"/>
          <w:szCs w:val="24"/>
        </w:rPr>
        <w:t>If none of those three apply, amount determined by IDR entity (regulations to implement this process are forthcoming)</w:t>
      </w:r>
    </w:p>
    <w:p w14:paraId="2506D44F" w14:textId="6937F75B" w:rsidR="00473BFB" w:rsidRDefault="006D78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of </w:t>
      </w:r>
      <w:r w:rsidR="00473BFB">
        <w:rPr>
          <w:rFonts w:ascii="Times New Roman" w:hAnsi="Times New Roman" w:cs="Times New Roman"/>
          <w:b/>
          <w:bCs/>
          <w:sz w:val="24"/>
          <w:szCs w:val="24"/>
        </w:rPr>
        <w:t>Key Provisions</w:t>
      </w:r>
      <w:r w:rsidR="00206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731BDA" w14:textId="3435D04E" w:rsidR="00473BFB" w:rsidRDefault="00B06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federal requirements interact with states that have surprise billing</w:t>
      </w:r>
      <w:r w:rsidR="008A4BCE">
        <w:rPr>
          <w:rFonts w:ascii="Times New Roman" w:hAnsi="Times New Roman" w:cs="Times New Roman"/>
          <w:sz w:val="24"/>
          <w:szCs w:val="24"/>
        </w:rPr>
        <w:t xml:space="preserve"> laws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3BFB">
        <w:rPr>
          <w:rFonts w:ascii="Times New Roman" w:hAnsi="Times New Roman" w:cs="Times New Roman"/>
          <w:sz w:val="24"/>
          <w:szCs w:val="24"/>
        </w:rPr>
        <w:t>see discussion beginning on page 49.</w:t>
      </w:r>
      <w:r w:rsidR="004437A5">
        <w:rPr>
          <w:rFonts w:ascii="Times New Roman" w:hAnsi="Times New Roman" w:cs="Times New Roman"/>
          <w:sz w:val="24"/>
          <w:szCs w:val="24"/>
        </w:rPr>
        <w:t xml:space="preserve"> </w:t>
      </w:r>
      <w:r w:rsidR="00473BFB">
        <w:rPr>
          <w:rFonts w:ascii="Times New Roman" w:hAnsi="Times New Roman" w:cs="Times New Roman"/>
          <w:sz w:val="24"/>
          <w:szCs w:val="24"/>
        </w:rPr>
        <w:t>Note specific request for comments on page 52</w:t>
      </w:r>
      <w:r w:rsidR="008358E5">
        <w:rPr>
          <w:rFonts w:ascii="Times New Roman" w:hAnsi="Times New Roman" w:cs="Times New Roman"/>
          <w:sz w:val="24"/>
          <w:szCs w:val="24"/>
        </w:rPr>
        <w:t>.</w:t>
      </w:r>
    </w:p>
    <w:p w14:paraId="6BAEBB4A" w14:textId="62E8F0DD" w:rsidR="00473BFB" w:rsidRDefault="00473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Methodology for determining the Qualifying Payment Amount – see discussion beginning on page </w:t>
      </w:r>
      <w:proofErr w:type="gramStart"/>
      <w:r>
        <w:rPr>
          <w:rFonts w:ascii="Times New Roman" w:hAnsi="Times New Roman" w:cs="Times New Roman"/>
          <w:sz w:val="24"/>
          <w:szCs w:val="24"/>
        </w:rPr>
        <w:t>62</w:t>
      </w:r>
      <w:proofErr w:type="gramEnd"/>
      <w:r w:rsidR="00443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DB62B" w14:textId="3B310711" w:rsidR="009B41DC" w:rsidRDefault="009B4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of Alternative Payment M</w:t>
      </w:r>
      <w:r w:rsidR="00A225EC">
        <w:rPr>
          <w:rFonts w:ascii="Times New Roman" w:hAnsi="Times New Roman" w:cs="Times New Roman"/>
          <w:sz w:val="24"/>
          <w:szCs w:val="24"/>
        </w:rPr>
        <w:t>odels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58E5">
        <w:rPr>
          <w:rFonts w:ascii="Times New Roman" w:hAnsi="Times New Roman" w:cs="Times New Roman"/>
          <w:sz w:val="24"/>
          <w:szCs w:val="24"/>
        </w:rPr>
        <w:t xml:space="preserve">see </w:t>
      </w:r>
      <w:r>
        <w:rPr>
          <w:rFonts w:ascii="Times New Roman" w:hAnsi="Times New Roman" w:cs="Times New Roman"/>
          <w:sz w:val="24"/>
          <w:szCs w:val="24"/>
        </w:rPr>
        <w:t xml:space="preserve">page </w:t>
      </w:r>
      <w:proofErr w:type="gramStart"/>
      <w:r w:rsidR="00A225EC">
        <w:rPr>
          <w:rFonts w:ascii="Times New Roman" w:hAnsi="Times New Roman" w:cs="Times New Roman"/>
          <w:sz w:val="24"/>
          <w:szCs w:val="24"/>
        </w:rPr>
        <w:t>79</w:t>
      </w:r>
      <w:proofErr w:type="gramEnd"/>
    </w:p>
    <w:p w14:paraId="1C4B73BB" w14:textId="3E2C0E65" w:rsidR="00473BFB" w:rsidRDefault="00473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limited information plans are to share with providers regarding how the QPA is determined – see page </w:t>
      </w:r>
      <w:proofErr w:type="gramStart"/>
      <w:r>
        <w:rPr>
          <w:rFonts w:ascii="Times New Roman" w:hAnsi="Times New Roman" w:cs="Times New Roman"/>
          <w:sz w:val="24"/>
          <w:szCs w:val="24"/>
        </w:rPr>
        <w:t>99</w:t>
      </w:r>
      <w:proofErr w:type="gramEnd"/>
    </w:p>
    <w:p w14:paraId="6B16794E" w14:textId="3CD478D3" w:rsidR="00473BFB" w:rsidRDefault="00473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HHS proposes to use its existing programs to audit health plans’ compliance – see page </w:t>
      </w:r>
      <w:proofErr w:type="gramStart"/>
      <w:r>
        <w:rPr>
          <w:rFonts w:ascii="Times New Roman" w:hAnsi="Times New Roman" w:cs="Times New Roman"/>
          <w:sz w:val="24"/>
          <w:szCs w:val="24"/>
        </w:rPr>
        <w:t>102</w:t>
      </w:r>
      <w:proofErr w:type="gramEnd"/>
    </w:p>
    <w:p w14:paraId="468FBA3B" w14:textId="71B80CEB" w:rsidR="00473BFB" w:rsidRDefault="00473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determination of the out-of-network rate in absence of state law or an all</w:t>
      </w:r>
      <w:r w:rsidR="00ED0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payer method – see page </w:t>
      </w:r>
      <w:proofErr w:type="gramStart"/>
      <w:r>
        <w:rPr>
          <w:rFonts w:ascii="Times New Roman" w:hAnsi="Times New Roman" w:cs="Times New Roman"/>
          <w:sz w:val="24"/>
          <w:szCs w:val="24"/>
        </w:rPr>
        <w:t>103</w:t>
      </w:r>
      <w:proofErr w:type="gramEnd"/>
    </w:p>
    <w:p w14:paraId="409F7E80" w14:textId="60C49C96" w:rsidR="00D648F6" w:rsidRDefault="00D64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Consumer </w:t>
      </w:r>
      <w:r w:rsidR="008358E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omplaints process against plans and providers – see page </w:t>
      </w:r>
      <w:proofErr w:type="gramStart"/>
      <w:r>
        <w:rPr>
          <w:rFonts w:ascii="Times New Roman" w:hAnsi="Times New Roman" w:cs="Times New Roman"/>
          <w:sz w:val="24"/>
          <w:szCs w:val="24"/>
        </w:rPr>
        <w:t>111</w:t>
      </w:r>
      <w:proofErr w:type="gramEnd"/>
    </w:p>
    <w:p w14:paraId="003772FD" w14:textId="7F3CF65F" w:rsidR="00473BFB" w:rsidRDefault="00473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notice and consent requirements providers</w:t>
      </w:r>
      <w:r w:rsidR="00ED0963">
        <w:rPr>
          <w:rFonts w:ascii="Times New Roman" w:hAnsi="Times New Roman" w:cs="Times New Roman"/>
          <w:sz w:val="24"/>
          <w:szCs w:val="24"/>
        </w:rPr>
        <w:t xml:space="preserve"> must adhere to</w:t>
      </w:r>
      <w:r>
        <w:rPr>
          <w:rFonts w:ascii="Times New Roman" w:hAnsi="Times New Roman" w:cs="Times New Roman"/>
          <w:sz w:val="24"/>
          <w:szCs w:val="24"/>
        </w:rPr>
        <w:t xml:space="preserve"> – see page </w:t>
      </w:r>
      <w:proofErr w:type="gramStart"/>
      <w:r>
        <w:rPr>
          <w:rFonts w:ascii="Times New Roman" w:hAnsi="Times New Roman" w:cs="Times New Roman"/>
          <w:sz w:val="24"/>
          <w:szCs w:val="24"/>
        </w:rPr>
        <w:t>124</w:t>
      </w:r>
      <w:proofErr w:type="gramEnd"/>
    </w:p>
    <w:p w14:paraId="6E93EAE4" w14:textId="77777777" w:rsidR="00154EC2" w:rsidRDefault="00473BFB" w:rsidP="00154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EC2">
        <w:rPr>
          <w:rFonts w:ascii="Times New Roman" w:hAnsi="Times New Roman" w:cs="Times New Roman"/>
          <w:sz w:val="24"/>
          <w:szCs w:val="24"/>
        </w:rPr>
        <w:t xml:space="preserve">Standards for consent – </w:t>
      </w:r>
      <w:r w:rsidR="00154EC2" w:rsidRPr="00154EC2">
        <w:rPr>
          <w:rFonts w:ascii="Times New Roman" w:hAnsi="Times New Roman" w:cs="Times New Roman"/>
          <w:sz w:val="24"/>
          <w:szCs w:val="24"/>
        </w:rPr>
        <w:t xml:space="preserve">see </w:t>
      </w:r>
      <w:r w:rsidRPr="00154EC2">
        <w:rPr>
          <w:rFonts w:ascii="Times New Roman" w:hAnsi="Times New Roman" w:cs="Times New Roman"/>
          <w:sz w:val="24"/>
          <w:szCs w:val="24"/>
        </w:rPr>
        <w:t xml:space="preserve">page </w:t>
      </w:r>
      <w:proofErr w:type="gramStart"/>
      <w:r w:rsidRPr="00154EC2">
        <w:rPr>
          <w:rFonts w:ascii="Times New Roman" w:hAnsi="Times New Roman" w:cs="Times New Roman"/>
          <w:sz w:val="24"/>
          <w:szCs w:val="24"/>
        </w:rPr>
        <w:t>134</w:t>
      </w:r>
      <w:proofErr w:type="gramEnd"/>
    </w:p>
    <w:p w14:paraId="592E325B" w14:textId="77777777" w:rsidR="00154EC2" w:rsidRDefault="00473BFB" w:rsidP="00154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EC2">
        <w:rPr>
          <w:rFonts w:ascii="Times New Roman" w:hAnsi="Times New Roman" w:cs="Times New Roman"/>
          <w:sz w:val="24"/>
          <w:szCs w:val="24"/>
        </w:rPr>
        <w:t xml:space="preserve">Exceptions to availability of consent – </w:t>
      </w:r>
      <w:r w:rsidR="00154EC2" w:rsidRPr="00154EC2">
        <w:rPr>
          <w:rFonts w:ascii="Times New Roman" w:hAnsi="Times New Roman" w:cs="Times New Roman"/>
          <w:sz w:val="24"/>
          <w:szCs w:val="24"/>
        </w:rPr>
        <w:t xml:space="preserve">see </w:t>
      </w:r>
      <w:r w:rsidRPr="00154EC2">
        <w:rPr>
          <w:rFonts w:ascii="Times New Roman" w:hAnsi="Times New Roman" w:cs="Times New Roman"/>
          <w:sz w:val="24"/>
          <w:szCs w:val="24"/>
        </w:rPr>
        <w:t xml:space="preserve">page </w:t>
      </w:r>
      <w:proofErr w:type="gramStart"/>
      <w:r w:rsidRPr="00154EC2">
        <w:rPr>
          <w:rFonts w:ascii="Times New Roman" w:hAnsi="Times New Roman" w:cs="Times New Roman"/>
          <w:sz w:val="24"/>
          <w:szCs w:val="24"/>
        </w:rPr>
        <w:t>143</w:t>
      </w:r>
      <w:proofErr w:type="gramEnd"/>
    </w:p>
    <w:p w14:paraId="3A819F71" w14:textId="587DA125" w:rsidR="00141725" w:rsidRDefault="00154EC2" w:rsidP="00154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EC2">
        <w:rPr>
          <w:rFonts w:ascii="Times New Roman" w:hAnsi="Times New Roman" w:cs="Times New Roman"/>
          <w:sz w:val="24"/>
          <w:szCs w:val="24"/>
        </w:rPr>
        <w:t xml:space="preserve">For requirements to notify insurers - </w:t>
      </w:r>
      <w:r w:rsidR="00141725" w:rsidRPr="00154EC2">
        <w:rPr>
          <w:rFonts w:ascii="Times New Roman" w:hAnsi="Times New Roman" w:cs="Times New Roman"/>
          <w:sz w:val="24"/>
          <w:szCs w:val="24"/>
        </w:rPr>
        <w:t>see page 146</w:t>
      </w:r>
    </w:p>
    <w:p w14:paraId="669BF6BC" w14:textId="2E91544C" w:rsidR="00E11720" w:rsidRDefault="00E11720" w:rsidP="00E11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Provider and facility disclosure requirements – </w:t>
      </w:r>
      <w:r w:rsidR="003E672E">
        <w:rPr>
          <w:rFonts w:ascii="Times New Roman" w:hAnsi="Times New Roman" w:cs="Times New Roman"/>
          <w:sz w:val="24"/>
          <w:szCs w:val="24"/>
        </w:rPr>
        <w:t xml:space="preserve">one page notice publicly available - </w:t>
      </w:r>
      <w:r>
        <w:rPr>
          <w:rFonts w:ascii="Times New Roman" w:hAnsi="Times New Roman" w:cs="Times New Roman"/>
          <w:sz w:val="24"/>
          <w:szCs w:val="24"/>
        </w:rPr>
        <w:t xml:space="preserve">see page </w:t>
      </w:r>
      <w:proofErr w:type="gramStart"/>
      <w:r>
        <w:rPr>
          <w:rFonts w:ascii="Times New Roman" w:hAnsi="Times New Roman" w:cs="Times New Roman"/>
          <w:sz w:val="24"/>
          <w:szCs w:val="24"/>
        </w:rPr>
        <w:t>148</w:t>
      </w:r>
      <w:proofErr w:type="gramEnd"/>
    </w:p>
    <w:p w14:paraId="448A03DE" w14:textId="6BF3E3F0" w:rsidR="004B143B" w:rsidRPr="004B143B" w:rsidRDefault="00D43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 of health care facility – see page </w:t>
      </w:r>
      <w:proofErr w:type="gramStart"/>
      <w:r>
        <w:rPr>
          <w:rFonts w:ascii="Times New Roman" w:hAnsi="Times New Roman" w:cs="Times New Roman"/>
          <w:sz w:val="24"/>
          <w:szCs w:val="24"/>
        </w:rPr>
        <w:t>209</w:t>
      </w:r>
      <w:proofErr w:type="gramEnd"/>
    </w:p>
    <w:p w14:paraId="6C3F7FB2" w14:textId="77777777" w:rsidR="00453ECC" w:rsidRDefault="00453E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F056CF" w14:textId="067C5E6F" w:rsidR="009F67F2" w:rsidRDefault="009F67F2">
      <w:pPr>
        <w:rPr>
          <w:rFonts w:ascii="Times New Roman" w:hAnsi="Times New Roman" w:cs="Times New Roman"/>
          <w:sz w:val="24"/>
          <w:szCs w:val="24"/>
        </w:rPr>
      </w:pPr>
      <w:r w:rsidRPr="004B143B">
        <w:rPr>
          <w:rFonts w:ascii="Times New Roman" w:hAnsi="Times New Roman" w:cs="Times New Roman"/>
          <w:b/>
          <w:bCs/>
          <w:sz w:val="24"/>
          <w:szCs w:val="24"/>
        </w:rPr>
        <w:t>Text of the IFR</w:t>
      </w:r>
      <w:r>
        <w:rPr>
          <w:rFonts w:ascii="Times New Roman" w:hAnsi="Times New Roman" w:cs="Times New Roman"/>
          <w:sz w:val="24"/>
          <w:szCs w:val="24"/>
        </w:rPr>
        <w:t xml:space="preserve"> – Begins on page </w:t>
      </w:r>
      <w:proofErr w:type="gramStart"/>
      <w:r>
        <w:rPr>
          <w:rFonts w:ascii="Times New Roman" w:hAnsi="Times New Roman" w:cs="Times New Roman"/>
          <w:sz w:val="24"/>
          <w:szCs w:val="24"/>
        </w:rPr>
        <w:t>264</w:t>
      </w:r>
      <w:proofErr w:type="gramEnd"/>
    </w:p>
    <w:p w14:paraId="4A6B46D8" w14:textId="4FBD39B9" w:rsidR="00171BB4" w:rsidRDefault="00171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Sections of the regulations are generally applicable to group health plans and health issuers for plan and policy years beginning on or after 1/1/22. The HHS-only regulations that apply to health care providers, facilities and providers of air ambulance services are applicable beginning on 1/1/22. The OPM-only regulations that apply to carriers under the FEHB program are applicable to contract years beginning on or after 1/1/22. </w:t>
      </w:r>
      <w:r w:rsidR="00605AE3">
        <w:rPr>
          <w:rFonts w:ascii="Times New Roman" w:hAnsi="Times New Roman" w:cs="Times New Roman"/>
          <w:sz w:val="24"/>
          <w:szCs w:val="24"/>
        </w:rPr>
        <w:t>Below are references for each program:</w:t>
      </w:r>
    </w:p>
    <w:p w14:paraId="4CDD41C0" w14:textId="09A770D0" w:rsidR="009F67F2" w:rsidRDefault="003F29F8" w:rsidP="00605A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AE3">
        <w:rPr>
          <w:rFonts w:ascii="Times New Roman" w:hAnsi="Times New Roman" w:cs="Times New Roman"/>
          <w:sz w:val="24"/>
          <w:szCs w:val="24"/>
        </w:rPr>
        <w:t>Methodology for calculati</w:t>
      </w:r>
      <w:r w:rsidR="00A7065A" w:rsidRPr="00605AE3">
        <w:rPr>
          <w:rFonts w:ascii="Times New Roman" w:hAnsi="Times New Roman" w:cs="Times New Roman"/>
          <w:sz w:val="24"/>
          <w:szCs w:val="24"/>
        </w:rPr>
        <w:t>on of</w:t>
      </w:r>
      <w:r w:rsidRPr="00605AE3">
        <w:rPr>
          <w:rFonts w:ascii="Times New Roman" w:hAnsi="Times New Roman" w:cs="Times New Roman"/>
          <w:sz w:val="24"/>
          <w:szCs w:val="24"/>
        </w:rPr>
        <w:t xml:space="preserve"> median contracted rate</w:t>
      </w:r>
      <w:r w:rsidR="00A7065A" w:rsidRPr="00605AE3">
        <w:rPr>
          <w:rFonts w:ascii="Times New Roman" w:hAnsi="Times New Roman" w:cs="Times New Roman"/>
          <w:sz w:val="24"/>
          <w:szCs w:val="24"/>
        </w:rPr>
        <w:t xml:space="preserve"> – page 278</w:t>
      </w:r>
      <w:r w:rsidR="009715F1" w:rsidRPr="00605AE3">
        <w:rPr>
          <w:rFonts w:ascii="Times New Roman" w:hAnsi="Times New Roman" w:cs="Times New Roman"/>
          <w:sz w:val="24"/>
          <w:szCs w:val="24"/>
        </w:rPr>
        <w:t>, page 326</w:t>
      </w:r>
      <w:r w:rsidR="008419C0" w:rsidRPr="00605AE3">
        <w:rPr>
          <w:rFonts w:ascii="Times New Roman" w:hAnsi="Times New Roman" w:cs="Times New Roman"/>
          <w:sz w:val="24"/>
          <w:szCs w:val="24"/>
        </w:rPr>
        <w:t>, page 373</w:t>
      </w:r>
    </w:p>
    <w:p w14:paraId="156835B8" w14:textId="6CAF809B" w:rsidR="00A2557E" w:rsidRDefault="00A2557E" w:rsidP="00605A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AE3">
        <w:rPr>
          <w:rFonts w:ascii="Times New Roman" w:hAnsi="Times New Roman" w:cs="Times New Roman"/>
          <w:sz w:val="24"/>
          <w:szCs w:val="24"/>
        </w:rPr>
        <w:t>Metho</w:t>
      </w:r>
      <w:r w:rsidR="00615059" w:rsidRPr="00605AE3">
        <w:rPr>
          <w:rFonts w:ascii="Times New Roman" w:hAnsi="Times New Roman" w:cs="Times New Roman"/>
          <w:sz w:val="24"/>
          <w:szCs w:val="24"/>
        </w:rPr>
        <w:t>dology for calculation of qualifying payment amount – page 288</w:t>
      </w:r>
      <w:r w:rsidR="008F2ECA" w:rsidRPr="00605AE3">
        <w:rPr>
          <w:rFonts w:ascii="Times New Roman" w:hAnsi="Times New Roman" w:cs="Times New Roman"/>
          <w:sz w:val="24"/>
          <w:szCs w:val="24"/>
        </w:rPr>
        <w:t>, page 320</w:t>
      </w:r>
      <w:r w:rsidR="009715F1" w:rsidRPr="00605AE3">
        <w:rPr>
          <w:rFonts w:ascii="Times New Roman" w:hAnsi="Times New Roman" w:cs="Times New Roman"/>
          <w:sz w:val="24"/>
          <w:szCs w:val="24"/>
        </w:rPr>
        <w:t>, page 328</w:t>
      </w:r>
      <w:r w:rsidR="009F2F45" w:rsidRPr="00605AE3">
        <w:rPr>
          <w:rFonts w:ascii="Times New Roman" w:hAnsi="Times New Roman" w:cs="Times New Roman"/>
          <w:sz w:val="24"/>
          <w:szCs w:val="24"/>
        </w:rPr>
        <w:t>, page 3</w:t>
      </w:r>
      <w:r w:rsidR="007C29B0" w:rsidRPr="00605AE3">
        <w:rPr>
          <w:rFonts w:ascii="Times New Roman" w:hAnsi="Times New Roman" w:cs="Times New Roman"/>
          <w:sz w:val="24"/>
          <w:szCs w:val="24"/>
        </w:rPr>
        <w:t>67</w:t>
      </w:r>
      <w:r w:rsidR="00AD1C54" w:rsidRPr="00605AE3">
        <w:rPr>
          <w:rFonts w:ascii="Times New Roman" w:hAnsi="Times New Roman" w:cs="Times New Roman"/>
          <w:sz w:val="24"/>
          <w:szCs w:val="24"/>
        </w:rPr>
        <w:t>, page 375</w:t>
      </w:r>
    </w:p>
    <w:p w14:paraId="0DB63650" w14:textId="4F3A5A66" w:rsidR="00F5583C" w:rsidRDefault="00F5583C" w:rsidP="00605A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AE3">
        <w:rPr>
          <w:rFonts w:ascii="Times New Roman" w:hAnsi="Times New Roman" w:cs="Times New Roman"/>
          <w:sz w:val="24"/>
          <w:szCs w:val="24"/>
        </w:rPr>
        <w:t xml:space="preserve">Information to be shared about </w:t>
      </w:r>
      <w:r w:rsidR="00EB6E1F" w:rsidRPr="00605AE3">
        <w:rPr>
          <w:rFonts w:ascii="Times New Roman" w:hAnsi="Times New Roman" w:cs="Times New Roman"/>
          <w:sz w:val="24"/>
          <w:szCs w:val="24"/>
        </w:rPr>
        <w:t>qualifying payment amount – page 296</w:t>
      </w:r>
      <w:r w:rsidR="006E6316" w:rsidRPr="00605AE3">
        <w:rPr>
          <w:rFonts w:ascii="Times New Roman" w:hAnsi="Times New Roman" w:cs="Times New Roman"/>
          <w:sz w:val="24"/>
          <w:szCs w:val="24"/>
        </w:rPr>
        <w:t>, page 336</w:t>
      </w:r>
      <w:r w:rsidR="00567D41" w:rsidRPr="00605AE3">
        <w:rPr>
          <w:rFonts w:ascii="Times New Roman" w:hAnsi="Times New Roman" w:cs="Times New Roman"/>
          <w:sz w:val="24"/>
          <w:szCs w:val="24"/>
        </w:rPr>
        <w:t xml:space="preserve">, page </w:t>
      </w:r>
      <w:proofErr w:type="gramStart"/>
      <w:r w:rsidR="00567D41" w:rsidRPr="00605AE3">
        <w:rPr>
          <w:rFonts w:ascii="Times New Roman" w:hAnsi="Times New Roman" w:cs="Times New Roman"/>
          <w:sz w:val="24"/>
          <w:szCs w:val="24"/>
        </w:rPr>
        <w:t>383</w:t>
      </w:r>
      <w:proofErr w:type="gramEnd"/>
    </w:p>
    <w:p w14:paraId="7B830ED3" w14:textId="44CE82ED" w:rsidR="00605AE3" w:rsidRDefault="00512A62" w:rsidP="00605A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AE3">
        <w:rPr>
          <w:rFonts w:ascii="Times New Roman" w:hAnsi="Times New Roman" w:cs="Times New Roman"/>
          <w:sz w:val="24"/>
          <w:szCs w:val="24"/>
        </w:rPr>
        <w:t xml:space="preserve">Definition of emergency medical condition </w:t>
      </w:r>
      <w:r w:rsidR="002A57ED" w:rsidRPr="00605AE3">
        <w:rPr>
          <w:rFonts w:ascii="Times New Roman" w:hAnsi="Times New Roman" w:cs="Times New Roman"/>
          <w:sz w:val="24"/>
          <w:szCs w:val="24"/>
        </w:rPr>
        <w:t>–</w:t>
      </w:r>
      <w:r w:rsidR="005A59C0">
        <w:rPr>
          <w:rFonts w:ascii="Times New Roman" w:hAnsi="Times New Roman" w:cs="Times New Roman"/>
          <w:sz w:val="24"/>
          <w:szCs w:val="24"/>
        </w:rPr>
        <w:t xml:space="preserve"> page 277,</w:t>
      </w:r>
      <w:r w:rsidR="002A57ED" w:rsidRPr="00605AE3">
        <w:rPr>
          <w:rFonts w:ascii="Times New Roman" w:hAnsi="Times New Roman" w:cs="Times New Roman"/>
          <w:sz w:val="24"/>
          <w:szCs w:val="24"/>
        </w:rPr>
        <w:t xml:space="preserve"> page </w:t>
      </w:r>
      <w:r w:rsidR="00ED0CC2">
        <w:rPr>
          <w:rFonts w:ascii="Times New Roman" w:hAnsi="Times New Roman" w:cs="Times New Roman"/>
          <w:sz w:val="24"/>
          <w:szCs w:val="24"/>
        </w:rPr>
        <w:t xml:space="preserve">317, page </w:t>
      </w:r>
      <w:r w:rsidR="002A57ED" w:rsidRPr="00605AE3">
        <w:rPr>
          <w:rFonts w:ascii="Times New Roman" w:hAnsi="Times New Roman" w:cs="Times New Roman"/>
          <w:sz w:val="24"/>
          <w:szCs w:val="24"/>
        </w:rPr>
        <w:t>362</w:t>
      </w:r>
    </w:p>
    <w:p w14:paraId="798072F0" w14:textId="2FA22C1D" w:rsidR="009F2749" w:rsidRPr="00605AE3" w:rsidRDefault="009F2749" w:rsidP="00605A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AE3">
        <w:rPr>
          <w:rFonts w:ascii="Times New Roman" w:hAnsi="Times New Roman" w:cs="Times New Roman"/>
          <w:sz w:val="24"/>
          <w:szCs w:val="24"/>
        </w:rPr>
        <w:t>Notice and consent – page 395</w:t>
      </w:r>
    </w:p>
    <w:p w14:paraId="3EEAF973" w14:textId="40BD82FA" w:rsidR="00141725" w:rsidRDefault="00141725">
      <w:pPr>
        <w:rPr>
          <w:rFonts w:ascii="Times New Roman" w:hAnsi="Times New Roman" w:cs="Times New Roman"/>
          <w:sz w:val="24"/>
          <w:szCs w:val="24"/>
        </w:rPr>
      </w:pPr>
    </w:p>
    <w:p w14:paraId="415687BD" w14:textId="77777777" w:rsidR="00605AE3" w:rsidRDefault="00605AE3">
      <w:pPr>
        <w:rPr>
          <w:rFonts w:ascii="Times New Roman" w:hAnsi="Times New Roman" w:cs="Times New Roman"/>
          <w:sz w:val="24"/>
          <w:szCs w:val="24"/>
        </w:rPr>
      </w:pPr>
    </w:p>
    <w:p w14:paraId="101BA842" w14:textId="1012B410" w:rsidR="00141725" w:rsidRDefault="00141725">
      <w:pPr>
        <w:rPr>
          <w:rFonts w:ascii="Times New Roman" w:hAnsi="Times New Roman" w:cs="Times New Roman"/>
          <w:sz w:val="24"/>
          <w:szCs w:val="24"/>
        </w:rPr>
      </w:pPr>
    </w:p>
    <w:p w14:paraId="38927340" w14:textId="655C22E2" w:rsidR="00141725" w:rsidRDefault="00141725">
      <w:pPr>
        <w:rPr>
          <w:rFonts w:ascii="Times New Roman" w:hAnsi="Times New Roman" w:cs="Times New Roman"/>
          <w:sz w:val="24"/>
          <w:szCs w:val="24"/>
        </w:rPr>
      </w:pPr>
    </w:p>
    <w:p w14:paraId="162CFEAC" w14:textId="53B4FA5F" w:rsidR="00141725" w:rsidRPr="002A57ED" w:rsidRDefault="00141725" w:rsidP="002A57ED">
      <w:pPr>
        <w:rPr>
          <w:rFonts w:ascii="Times New Roman" w:hAnsi="Times New Roman"/>
          <w:sz w:val="24"/>
          <w:szCs w:val="24"/>
        </w:rPr>
      </w:pPr>
    </w:p>
    <w:p w14:paraId="5732DB15" w14:textId="77777777" w:rsidR="00141725" w:rsidRPr="00425EAC" w:rsidRDefault="00141725" w:rsidP="00141725">
      <w:pPr>
        <w:rPr>
          <w:rFonts w:ascii="Times New Roman" w:hAnsi="Times New Roman" w:cs="Times New Roman"/>
          <w:sz w:val="24"/>
          <w:szCs w:val="24"/>
        </w:rPr>
      </w:pPr>
      <w:r w:rsidRPr="00425EAC">
        <w:rPr>
          <w:rFonts w:ascii="Times New Roman" w:hAnsi="Times New Roman"/>
          <w:i/>
          <w:color w:val="44546A" w:themeColor="text2"/>
          <w:sz w:val="24"/>
          <w:szCs w:val="24"/>
        </w:rPr>
        <w:t>For additional information, please contact our General Counsel Diane Turpin a</w:t>
      </w:r>
      <w:r>
        <w:rPr>
          <w:rFonts w:ascii="Times New Roman" w:hAnsi="Times New Roman"/>
          <w:i/>
          <w:color w:val="44546A" w:themeColor="text2"/>
          <w:sz w:val="24"/>
          <w:szCs w:val="24"/>
        </w:rPr>
        <w:t>t</w:t>
      </w:r>
      <w:r w:rsidRPr="00425EAC">
        <w:rPr>
          <w:rFonts w:ascii="Times New Roman" w:hAnsi="Times New Roman"/>
          <w:i/>
          <w:color w:val="44546A" w:themeColor="text2"/>
          <w:sz w:val="24"/>
          <w:szCs w:val="24"/>
        </w:rPr>
        <w:t xml:space="preserve"> </w:t>
      </w:r>
      <w:hyperlink r:id="rId13" w:history="1">
        <w:r w:rsidRPr="00425EAC">
          <w:rPr>
            <w:rFonts w:ascii="Times New Roman" w:hAnsi="Times New Roman"/>
            <w:i/>
            <w:color w:val="0563C1" w:themeColor="hyperlink"/>
            <w:sz w:val="24"/>
            <w:szCs w:val="24"/>
            <w:u w:val="single"/>
          </w:rPr>
          <w:t>diane.turpin@shcare.net</w:t>
        </w:r>
      </w:hyperlink>
      <w:r>
        <w:rPr>
          <w:rFonts w:ascii="Times New Roman" w:hAnsi="Times New Roman"/>
          <w:i/>
          <w:color w:val="44546A" w:themeColor="text2"/>
          <w:sz w:val="24"/>
          <w:szCs w:val="24"/>
        </w:rPr>
        <w:t xml:space="preserve"> or 202-578-5444</w:t>
      </w:r>
    </w:p>
    <w:p w14:paraId="1AB320A1" w14:textId="64F782DF" w:rsidR="00141725" w:rsidRDefault="00141725">
      <w:pPr>
        <w:rPr>
          <w:rFonts w:ascii="Times New Roman" w:hAnsi="Times New Roman" w:cs="Times New Roman"/>
          <w:sz w:val="24"/>
          <w:szCs w:val="24"/>
        </w:rPr>
      </w:pPr>
    </w:p>
    <w:p w14:paraId="0664A2AC" w14:textId="5DC1450C" w:rsidR="00141725" w:rsidRDefault="00141725">
      <w:pPr>
        <w:rPr>
          <w:rFonts w:ascii="Times New Roman" w:hAnsi="Times New Roman" w:cs="Times New Roman"/>
          <w:sz w:val="24"/>
          <w:szCs w:val="24"/>
        </w:rPr>
      </w:pPr>
    </w:p>
    <w:p w14:paraId="5A82CFC6" w14:textId="6769C6C7" w:rsidR="00141725" w:rsidRDefault="00141725">
      <w:pPr>
        <w:rPr>
          <w:rFonts w:ascii="Times New Roman" w:hAnsi="Times New Roman" w:cs="Times New Roman"/>
          <w:sz w:val="24"/>
          <w:szCs w:val="24"/>
        </w:rPr>
      </w:pPr>
    </w:p>
    <w:p w14:paraId="5FFBB70D" w14:textId="77777777" w:rsidR="00141725" w:rsidRDefault="00141725">
      <w:pPr>
        <w:rPr>
          <w:rFonts w:ascii="Times New Roman" w:hAnsi="Times New Roman" w:cs="Times New Roman"/>
          <w:sz w:val="24"/>
          <w:szCs w:val="24"/>
        </w:rPr>
      </w:pPr>
    </w:p>
    <w:p w14:paraId="33E6FF06" w14:textId="77777777" w:rsidR="00946374" w:rsidRPr="00473BFB" w:rsidRDefault="00946374">
      <w:pPr>
        <w:rPr>
          <w:rFonts w:ascii="Times New Roman" w:hAnsi="Times New Roman" w:cs="Times New Roman"/>
          <w:sz w:val="24"/>
          <w:szCs w:val="24"/>
        </w:rPr>
      </w:pPr>
    </w:p>
    <w:sectPr w:rsidR="00946374" w:rsidRPr="00473BF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3889" w14:textId="77777777" w:rsidR="00004A8C" w:rsidRDefault="00004A8C" w:rsidP="00826E40">
      <w:pPr>
        <w:spacing w:after="0" w:line="240" w:lineRule="auto"/>
      </w:pPr>
      <w:r>
        <w:separator/>
      </w:r>
    </w:p>
  </w:endnote>
  <w:endnote w:type="continuationSeparator" w:id="0">
    <w:p w14:paraId="0CC9CABA" w14:textId="77777777" w:rsidR="00004A8C" w:rsidRDefault="00004A8C" w:rsidP="0082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948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5CFD8" w14:textId="74750BE9" w:rsidR="00826E40" w:rsidRDefault="00826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4ABA0" w14:textId="77777777" w:rsidR="00826E40" w:rsidRDefault="00826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29CC" w14:textId="77777777" w:rsidR="00004A8C" w:rsidRDefault="00004A8C" w:rsidP="00826E40">
      <w:pPr>
        <w:spacing w:after="0" w:line="240" w:lineRule="auto"/>
      </w:pPr>
      <w:r>
        <w:separator/>
      </w:r>
    </w:p>
  </w:footnote>
  <w:footnote w:type="continuationSeparator" w:id="0">
    <w:p w14:paraId="6EF4BEE7" w14:textId="77777777" w:rsidR="00004A8C" w:rsidRDefault="00004A8C" w:rsidP="00826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2167"/>
    <w:multiLevelType w:val="hybridMultilevel"/>
    <w:tmpl w:val="2EF8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60EBB"/>
    <w:multiLevelType w:val="hybridMultilevel"/>
    <w:tmpl w:val="AA80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9ED"/>
    <w:multiLevelType w:val="multilevel"/>
    <w:tmpl w:val="9222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6027B"/>
    <w:multiLevelType w:val="hybridMultilevel"/>
    <w:tmpl w:val="2B20D4DA"/>
    <w:lvl w:ilvl="0" w:tplc="3006C2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2465"/>
    <w:multiLevelType w:val="hybridMultilevel"/>
    <w:tmpl w:val="A360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6620"/>
    <w:multiLevelType w:val="hybridMultilevel"/>
    <w:tmpl w:val="5990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565AC"/>
    <w:multiLevelType w:val="hybridMultilevel"/>
    <w:tmpl w:val="8F3E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F0"/>
    <w:rsid w:val="00004A8C"/>
    <w:rsid w:val="00016A28"/>
    <w:rsid w:val="000C7D34"/>
    <w:rsid w:val="000F1114"/>
    <w:rsid w:val="00141725"/>
    <w:rsid w:val="00154EC2"/>
    <w:rsid w:val="0016539B"/>
    <w:rsid w:val="00171BB4"/>
    <w:rsid w:val="001868DB"/>
    <w:rsid w:val="001B1C2A"/>
    <w:rsid w:val="00206375"/>
    <w:rsid w:val="002278F0"/>
    <w:rsid w:val="0026118A"/>
    <w:rsid w:val="002A57ED"/>
    <w:rsid w:val="002B740E"/>
    <w:rsid w:val="00360A1F"/>
    <w:rsid w:val="003E672E"/>
    <w:rsid w:val="003E7C24"/>
    <w:rsid w:val="003F29F8"/>
    <w:rsid w:val="004238F6"/>
    <w:rsid w:val="004437A5"/>
    <w:rsid w:val="00453ECC"/>
    <w:rsid w:val="0046055A"/>
    <w:rsid w:val="00473BFB"/>
    <w:rsid w:val="004B143B"/>
    <w:rsid w:val="00511CD7"/>
    <w:rsid w:val="00512A62"/>
    <w:rsid w:val="00567D41"/>
    <w:rsid w:val="005A59C0"/>
    <w:rsid w:val="005E4FA5"/>
    <w:rsid w:val="005E779B"/>
    <w:rsid w:val="005F584A"/>
    <w:rsid w:val="00605AE3"/>
    <w:rsid w:val="00607562"/>
    <w:rsid w:val="00615059"/>
    <w:rsid w:val="006419DA"/>
    <w:rsid w:val="00680535"/>
    <w:rsid w:val="006D7832"/>
    <w:rsid w:val="006E6316"/>
    <w:rsid w:val="00707747"/>
    <w:rsid w:val="007C2093"/>
    <w:rsid w:val="007C29B0"/>
    <w:rsid w:val="007C6CEB"/>
    <w:rsid w:val="00825057"/>
    <w:rsid w:val="00826E40"/>
    <w:rsid w:val="008358E5"/>
    <w:rsid w:val="008419C0"/>
    <w:rsid w:val="008428D9"/>
    <w:rsid w:val="008715AC"/>
    <w:rsid w:val="008808B8"/>
    <w:rsid w:val="00885F90"/>
    <w:rsid w:val="008A4BCE"/>
    <w:rsid w:val="008B7719"/>
    <w:rsid w:val="008F2ECA"/>
    <w:rsid w:val="00946374"/>
    <w:rsid w:val="009715F1"/>
    <w:rsid w:val="009B1FE6"/>
    <w:rsid w:val="009B41DC"/>
    <w:rsid w:val="009F2749"/>
    <w:rsid w:val="009F2F45"/>
    <w:rsid w:val="009F67F2"/>
    <w:rsid w:val="00A05460"/>
    <w:rsid w:val="00A225EC"/>
    <w:rsid w:val="00A2557E"/>
    <w:rsid w:val="00A7065A"/>
    <w:rsid w:val="00AB5F21"/>
    <w:rsid w:val="00AD1C54"/>
    <w:rsid w:val="00AF10E6"/>
    <w:rsid w:val="00AF72C2"/>
    <w:rsid w:val="00B026EE"/>
    <w:rsid w:val="00B06D77"/>
    <w:rsid w:val="00B65FD6"/>
    <w:rsid w:val="00C50A6C"/>
    <w:rsid w:val="00C764EA"/>
    <w:rsid w:val="00C85C70"/>
    <w:rsid w:val="00D24934"/>
    <w:rsid w:val="00D43194"/>
    <w:rsid w:val="00D648F6"/>
    <w:rsid w:val="00DC781E"/>
    <w:rsid w:val="00E11720"/>
    <w:rsid w:val="00E25B9A"/>
    <w:rsid w:val="00EA34C4"/>
    <w:rsid w:val="00EB30E7"/>
    <w:rsid w:val="00EB6E1F"/>
    <w:rsid w:val="00ED0963"/>
    <w:rsid w:val="00ED0CC2"/>
    <w:rsid w:val="00F5583C"/>
    <w:rsid w:val="00F81183"/>
    <w:rsid w:val="00F95BD4"/>
    <w:rsid w:val="00FD4435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6237"/>
  <w15:chartTrackingRefBased/>
  <w15:docId w15:val="{60F2C123-65C8-4B74-95DE-AA64B074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8F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278F0"/>
    <w:rPr>
      <w:b/>
      <w:bCs/>
    </w:rPr>
  </w:style>
  <w:style w:type="paragraph" w:styleId="ListParagraph">
    <w:name w:val="List Paragraph"/>
    <w:basedOn w:val="Normal"/>
    <w:uiPriority w:val="34"/>
    <w:qFormat/>
    <w:rsid w:val="00154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40"/>
  </w:style>
  <w:style w:type="paragraph" w:styleId="Footer">
    <w:name w:val="footer"/>
    <w:basedOn w:val="Normal"/>
    <w:link w:val="FooterChar"/>
    <w:uiPriority w:val="99"/>
    <w:unhideWhenUsed/>
    <w:rsid w:val="0082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document/cms-9909-ifc-surprise-billing-disclaimer-50.pdf" TargetMode="External"/><Relationship Id="rId13" Type="http://schemas.openxmlformats.org/officeDocument/2006/relationships/hyperlink" Target="mailto:diane.turpin@shcar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congress.gov/bill/116th-congress/house-bill/133/text?q=%7B%22search%22%3A%5B%22P.L.+116-260%22%5D%7D&amp;r=1&amp;s=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hs.gov/about/news/2021/07/01/hhs-announces-rule-to-protect-consumers-from-surprise-medical-bill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ms.gov/newsroom/fact-sheets/requirements-related-surprise-billing-part-i-interim-final-rule-comment-peri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s.gov/newsroom/fact-sheets/what-you-need-know-about-biden-harris-administrations-actions-prevent-surprise-bill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Turpin</dc:creator>
  <cp:keywords/>
  <dc:description/>
  <cp:lastModifiedBy>Diane Turpin</cp:lastModifiedBy>
  <cp:revision>87</cp:revision>
  <dcterms:created xsi:type="dcterms:W3CDTF">2021-07-02T01:16:00Z</dcterms:created>
  <dcterms:modified xsi:type="dcterms:W3CDTF">2021-07-02T14:28:00Z</dcterms:modified>
</cp:coreProperties>
</file>